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65E" w:rsidRPr="00E6665E" w:rsidRDefault="00E6665E" w:rsidP="00E6665E">
      <w:pPr>
        <w:spacing w:line="560" w:lineRule="exact"/>
        <w:ind w:firstLineChars="150" w:firstLine="315"/>
        <w:rPr>
          <w:rFonts w:ascii="黑体" w:eastAsia="黑体" w:hAnsi="黑体" w:cs="仿宋"/>
          <w:color w:val="000000"/>
          <w:kern w:val="0"/>
          <w:sz w:val="32"/>
          <w:szCs w:val="32"/>
          <w:shd w:val="clear" w:color="auto" w:fill="FFFFFF"/>
        </w:rPr>
      </w:pPr>
      <w:r w:rsidRPr="00E6665E">
        <w:rPr>
          <w:rFonts w:ascii="Times New Roman" w:eastAsia="宋体" w:hAnsi="Times New Roman" w:cs="Times New Roman"/>
          <w:noProof/>
        </w:rPr>
        <w:pict>
          <v:rect id="_x0000_s1026" style="position:absolute;left:0;text-align:left;margin-left:-107.55pt;margin-top:1.3pt;width:105pt;height:73.8pt;z-index:251659264" stroked="f">
            <v:textbox style="layout-flow:vertical-ideographic" inset="0,0,0,0">
              <w:txbxContent>
                <w:p w:rsidR="00E6665E" w:rsidRDefault="00E6665E" w:rsidP="00E6665E">
                  <w:pPr>
                    <w:pStyle w:val="a3"/>
                  </w:pPr>
                </w:p>
              </w:txbxContent>
            </v:textbox>
          </v:rect>
        </w:pict>
      </w:r>
      <w:r>
        <w:rPr>
          <w:rFonts w:ascii="黑体" w:eastAsia="黑体" w:hAnsi="黑体" w:cs="仿宋" w:hint="eastAsia"/>
          <w:color w:val="000000"/>
          <w:kern w:val="0"/>
          <w:sz w:val="32"/>
          <w:szCs w:val="32"/>
          <w:shd w:val="clear" w:color="auto" w:fill="FFFFFF"/>
        </w:rPr>
        <w:t>附</w:t>
      </w:r>
      <w:r w:rsidRPr="00E6665E">
        <w:rPr>
          <w:rFonts w:ascii="黑体" w:eastAsia="黑体" w:hAnsi="黑体" w:cs="仿宋"/>
          <w:color w:val="000000"/>
          <w:kern w:val="0"/>
          <w:sz w:val="32"/>
          <w:szCs w:val="32"/>
          <w:shd w:val="clear" w:color="auto" w:fill="FFFFFF"/>
        </w:rPr>
        <w:t>件5</w:t>
      </w:r>
    </w:p>
    <w:p w:rsidR="00E6665E" w:rsidRPr="00E6665E" w:rsidRDefault="00E6665E" w:rsidP="00E6665E">
      <w:pPr>
        <w:snapToGrid w:val="0"/>
        <w:spacing w:line="400" w:lineRule="exact"/>
        <w:ind w:firstLine="703"/>
        <w:rPr>
          <w:rFonts w:ascii="仿宋_GB2312" w:eastAsia="仿宋_GB2312" w:hAnsi="Times New Roman" w:cs="Times New Roman"/>
          <w:color w:val="000000"/>
          <w:sz w:val="36"/>
          <w:szCs w:val="36"/>
        </w:rPr>
      </w:pPr>
    </w:p>
    <w:p w:rsidR="00E6665E" w:rsidRPr="00E6665E" w:rsidRDefault="00E6665E" w:rsidP="00E6665E">
      <w:pPr>
        <w:spacing w:afterLines="50" w:after="156"/>
        <w:jc w:val="center"/>
        <w:rPr>
          <w:rFonts w:ascii="华文中宋" w:eastAsia="华文中宋" w:hAnsi="华文中宋" w:cs="黑体"/>
          <w:sz w:val="40"/>
          <w:szCs w:val="40"/>
        </w:rPr>
      </w:pPr>
      <w:bookmarkStart w:id="0" w:name="_GoBack"/>
      <w:r w:rsidRPr="00E6665E">
        <w:rPr>
          <w:rFonts w:ascii="华文中宋" w:eastAsia="华文中宋" w:hAnsi="华文中宋" w:cs="黑体"/>
          <w:sz w:val="40"/>
          <w:szCs w:val="40"/>
        </w:rPr>
        <w:t>聊城市优化提升工程建设项目审批制度改革工作任务分解表</w:t>
      </w:r>
    </w:p>
    <w:tbl>
      <w:tblPr>
        <w:tblStyle w:val="a5"/>
        <w:tblW w:w="12602" w:type="dxa"/>
        <w:jc w:val="center"/>
        <w:tblLayout w:type="fixed"/>
        <w:tblCellMar>
          <w:top w:w="57" w:type="dxa"/>
          <w:left w:w="57" w:type="dxa"/>
          <w:bottom w:w="57" w:type="dxa"/>
          <w:right w:w="57" w:type="dxa"/>
        </w:tblCellMar>
        <w:tblLook w:val="04A0" w:firstRow="1" w:lastRow="0" w:firstColumn="1" w:lastColumn="0" w:noHBand="0" w:noVBand="1"/>
      </w:tblPr>
      <w:tblGrid>
        <w:gridCol w:w="355"/>
        <w:gridCol w:w="1576"/>
        <w:gridCol w:w="5064"/>
        <w:gridCol w:w="1878"/>
        <w:gridCol w:w="2373"/>
        <w:gridCol w:w="1356"/>
      </w:tblGrid>
      <w:tr w:rsidR="00E6665E" w:rsidRPr="00E6665E" w:rsidTr="00CB313A">
        <w:trPr>
          <w:trHeight w:val="156"/>
          <w:tblHeader/>
          <w:jc w:val="center"/>
        </w:trPr>
        <w:tc>
          <w:tcPr>
            <w:tcW w:w="355" w:type="dxa"/>
            <w:vMerge w:val="restart"/>
            <w:vAlign w:val="center"/>
          </w:tcPr>
          <w:bookmarkEnd w:id="0"/>
          <w:p w:rsidR="00E6665E" w:rsidRPr="00E6665E" w:rsidRDefault="00E6665E" w:rsidP="00E6665E">
            <w:pPr>
              <w:spacing w:line="280" w:lineRule="exact"/>
              <w:jc w:val="center"/>
              <w:rPr>
                <w:rFonts w:ascii="黑体" w:eastAsia="黑体" w:hAnsi="黑体" w:cs="黑体"/>
                <w:sz w:val="18"/>
                <w:szCs w:val="18"/>
              </w:rPr>
            </w:pPr>
            <w:r w:rsidRPr="00E6665E">
              <w:rPr>
                <w:rFonts w:ascii="黑体" w:eastAsia="黑体" w:hAnsi="黑体" w:cs="黑体"/>
                <w:sz w:val="18"/>
                <w:szCs w:val="18"/>
              </w:rPr>
              <w:t>序号</w:t>
            </w:r>
          </w:p>
        </w:tc>
        <w:tc>
          <w:tcPr>
            <w:tcW w:w="1576" w:type="dxa"/>
            <w:vMerge w:val="restart"/>
            <w:vAlign w:val="center"/>
          </w:tcPr>
          <w:p w:rsidR="00E6665E" w:rsidRPr="00E6665E" w:rsidRDefault="00E6665E" w:rsidP="00E6665E">
            <w:pPr>
              <w:spacing w:line="280" w:lineRule="exact"/>
              <w:jc w:val="center"/>
              <w:rPr>
                <w:rFonts w:ascii="黑体" w:eastAsia="黑体" w:hAnsi="黑体" w:cs="黑体"/>
                <w:sz w:val="18"/>
                <w:szCs w:val="18"/>
              </w:rPr>
            </w:pPr>
            <w:r w:rsidRPr="00E6665E">
              <w:rPr>
                <w:rFonts w:ascii="黑体" w:eastAsia="黑体" w:hAnsi="黑体" w:cs="黑体"/>
                <w:bCs/>
                <w:spacing w:val="40"/>
                <w:sz w:val="18"/>
                <w:szCs w:val="18"/>
              </w:rPr>
              <w:t>工作任</w:t>
            </w:r>
            <w:r w:rsidRPr="00E6665E">
              <w:rPr>
                <w:rFonts w:ascii="黑体" w:eastAsia="黑体" w:hAnsi="黑体" w:cs="黑体"/>
                <w:bCs/>
                <w:sz w:val="18"/>
                <w:szCs w:val="18"/>
              </w:rPr>
              <w:t>务</w:t>
            </w:r>
          </w:p>
        </w:tc>
        <w:tc>
          <w:tcPr>
            <w:tcW w:w="5064" w:type="dxa"/>
            <w:vMerge w:val="restart"/>
            <w:vAlign w:val="center"/>
          </w:tcPr>
          <w:p w:rsidR="00E6665E" w:rsidRPr="00E6665E" w:rsidRDefault="00E6665E" w:rsidP="00E6665E">
            <w:pPr>
              <w:spacing w:line="280" w:lineRule="exact"/>
              <w:jc w:val="center"/>
              <w:rPr>
                <w:rFonts w:ascii="黑体" w:eastAsia="黑体" w:hAnsi="黑体" w:cs="黑体"/>
                <w:color w:val="000000"/>
                <w:sz w:val="18"/>
                <w:szCs w:val="18"/>
              </w:rPr>
            </w:pPr>
            <w:r w:rsidRPr="00E6665E">
              <w:rPr>
                <w:rFonts w:ascii="黑体" w:eastAsia="黑体" w:hAnsi="黑体" w:cs="黑体"/>
                <w:bCs/>
                <w:sz w:val="18"/>
                <w:szCs w:val="18"/>
              </w:rPr>
              <w:t>具   体   内   容</w:t>
            </w:r>
          </w:p>
        </w:tc>
        <w:tc>
          <w:tcPr>
            <w:tcW w:w="4251" w:type="dxa"/>
            <w:gridSpan w:val="2"/>
            <w:vAlign w:val="center"/>
          </w:tcPr>
          <w:p w:rsidR="00E6665E" w:rsidRPr="00E6665E" w:rsidRDefault="00E6665E" w:rsidP="00E6665E">
            <w:pPr>
              <w:spacing w:line="280" w:lineRule="exact"/>
              <w:jc w:val="center"/>
              <w:rPr>
                <w:rFonts w:ascii="黑体" w:eastAsia="黑体" w:hAnsi="黑体" w:cs="黑体"/>
                <w:sz w:val="18"/>
                <w:szCs w:val="18"/>
              </w:rPr>
            </w:pPr>
            <w:proofErr w:type="gramStart"/>
            <w:r w:rsidRPr="00E6665E">
              <w:rPr>
                <w:rFonts w:ascii="黑体" w:eastAsia="黑体" w:hAnsi="黑体" w:cs="黑体"/>
                <w:bCs/>
                <w:sz w:val="18"/>
                <w:szCs w:val="18"/>
              </w:rPr>
              <w:t>责</w:t>
            </w:r>
            <w:proofErr w:type="gramEnd"/>
            <w:r w:rsidRPr="00E6665E">
              <w:rPr>
                <w:rFonts w:ascii="黑体" w:eastAsia="黑体" w:hAnsi="黑体" w:cs="黑体"/>
                <w:bCs/>
                <w:sz w:val="18"/>
                <w:szCs w:val="18"/>
              </w:rPr>
              <w:t xml:space="preserve">  任  部  门</w:t>
            </w:r>
          </w:p>
        </w:tc>
        <w:tc>
          <w:tcPr>
            <w:tcW w:w="1356" w:type="dxa"/>
            <w:vMerge w:val="restart"/>
            <w:vAlign w:val="center"/>
          </w:tcPr>
          <w:p w:rsidR="00E6665E" w:rsidRPr="00E6665E" w:rsidRDefault="00E6665E" w:rsidP="00E6665E">
            <w:pPr>
              <w:spacing w:line="280" w:lineRule="exact"/>
              <w:jc w:val="center"/>
              <w:rPr>
                <w:rFonts w:ascii="黑体" w:eastAsia="黑体" w:hAnsi="黑体" w:cs="黑体"/>
                <w:sz w:val="18"/>
                <w:szCs w:val="18"/>
              </w:rPr>
            </w:pPr>
            <w:r w:rsidRPr="00E6665E">
              <w:rPr>
                <w:rFonts w:ascii="黑体" w:eastAsia="黑体" w:hAnsi="黑体" w:cs="黑体"/>
                <w:bCs/>
                <w:spacing w:val="40"/>
                <w:sz w:val="18"/>
                <w:szCs w:val="18"/>
              </w:rPr>
              <w:t>完成时</w:t>
            </w:r>
            <w:r w:rsidRPr="00E6665E">
              <w:rPr>
                <w:rFonts w:ascii="黑体" w:eastAsia="黑体" w:hAnsi="黑体" w:cs="黑体"/>
                <w:bCs/>
                <w:sz w:val="18"/>
                <w:szCs w:val="18"/>
              </w:rPr>
              <w:t>限</w:t>
            </w:r>
          </w:p>
        </w:tc>
      </w:tr>
      <w:tr w:rsidR="00E6665E" w:rsidRPr="00E6665E" w:rsidTr="00CB313A">
        <w:trPr>
          <w:trHeight w:val="176"/>
          <w:tblHeader/>
          <w:jc w:val="center"/>
        </w:trPr>
        <w:tc>
          <w:tcPr>
            <w:tcW w:w="355" w:type="dxa"/>
            <w:vMerge/>
            <w:vAlign w:val="center"/>
          </w:tcPr>
          <w:p w:rsidR="00E6665E" w:rsidRPr="00E6665E" w:rsidRDefault="00E6665E" w:rsidP="00E6665E">
            <w:pPr>
              <w:spacing w:line="280" w:lineRule="exact"/>
              <w:jc w:val="center"/>
              <w:rPr>
                <w:rFonts w:ascii="宋体" w:hAnsi="宋体" w:cs="黑体"/>
                <w:b/>
                <w:bCs/>
                <w:sz w:val="18"/>
                <w:szCs w:val="18"/>
              </w:rPr>
            </w:pPr>
          </w:p>
        </w:tc>
        <w:tc>
          <w:tcPr>
            <w:tcW w:w="1576" w:type="dxa"/>
            <w:vMerge/>
            <w:vAlign w:val="center"/>
          </w:tcPr>
          <w:p w:rsidR="00E6665E" w:rsidRPr="00E6665E" w:rsidRDefault="00E6665E" w:rsidP="00E6665E">
            <w:pPr>
              <w:spacing w:line="280" w:lineRule="exact"/>
              <w:jc w:val="center"/>
              <w:rPr>
                <w:rFonts w:ascii="宋体" w:hAnsi="宋体" w:cs="黑体"/>
                <w:b/>
                <w:bCs/>
                <w:sz w:val="18"/>
                <w:szCs w:val="18"/>
              </w:rPr>
            </w:pPr>
          </w:p>
        </w:tc>
        <w:tc>
          <w:tcPr>
            <w:tcW w:w="5064" w:type="dxa"/>
            <w:vMerge/>
            <w:vAlign w:val="center"/>
          </w:tcPr>
          <w:p w:rsidR="00E6665E" w:rsidRPr="00E6665E" w:rsidRDefault="00E6665E" w:rsidP="00E6665E">
            <w:pPr>
              <w:spacing w:line="280" w:lineRule="exact"/>
              <w:jc w:val="center"/>
              <w:rPr>
                <w:rFonts w:ascii="宋体" w:hAnsi="宋体" w:cs="黑体"/>
                <w:b/>
                <w:bCs/>
                <w:sz w:val="18"/>
                <w:szCs w:val="18"/>
              </w:rPr>
            </w:pPr>
          </w:p>
        </w:tc>
        <w:tc>
          <w:tcPr>
            <w:tcW w:w="1878" w:type="dxa"/>
            <w:vAlign w:val="center"/>
          </w:tcPr>
          <w:p w:rsidR="00E6665E" w:rsidRPr="00E6665E" w:rsidRDefault="00E6665E" w:rsidP="00E6665E">
            <w:pPr>
              <w:spacing w:line="280" w:lineRule="exact"/>
              <w:jc w:val="center"/>
              <w:rPr>
                <w:rFonts w:ascii="黑体" w:eastAsia="黑体" w:hAnsi="黑体" w:cs="黑体"/>
                <w:sz w:val="18"/>
                <w:szCs w:val="18"/>
              </w:rPr>
            </w:pPr>
            <w:r w:rsidRPr="00E6665E">
              <w:rPr>
                <w:rFonts w:ascii="黑体" w:eastAsia="黑体" w:hAnsi="黑体" w:cs="黑体"/>
                <w:bCs/>
                <w:sz w:val="18"/>
                <w:szCs w:val="18"/>
              </w:rPr>
              <w:t>牵 头 部 门</w:t>
            </w:r>
          </w:p>
        </w:tc>
        <w:tc>
          <w:tcPr>
            <w:tcW w:w="2373" w:type="dxa"/>
            <w:vAlign w:val="center"/>
          </w:tcPr>
          <w:p w:rsidR="00E6665E" w:rsidRPr="00E6665E" w:rsidRDefault="00E6665E" w:rsidP="00E6665E">
            <w:pPr>
              <w:spacing w:line="280" w:lineRule="exact"/>
              <w:jc w:val="center"/>
              <w:rPr>
                <w:rFonts w:ascii="黑体" w:eastAsia="黑体" w:hAnsi="黑体" w:cs="黑体"/>
                <w:sz w:val="18"/>
                <w:szCs w:val="18"/>
              </w:rPr>
            </w:pPr>
            <w:r w:rsidRPr="00E6665E">
              <w:rPr>
                <w:rFonts w:ascii="黑体" w:eastAsia="黑体" w:hAnsi="黑体" w:cs="黑体"/>
                <w:bCs/>
                <w:sz w:val="18"/>
                <w:szCs w:val="18"/>
              </w:rPr>
              <w:t>配 合 部 门</w:t>
            </w:r>
          </w:p>
        </w:tc>
        <w:tc>
          <w:tcPr>
            <w:tcW w:w="1356" w:type="dxa"/>
            <w:vMerge/>
            <w:vAlign w:val="center"/>
          </w:tcPr>
          <w:p w:rsidR="00E6665E" w:rsidRPr="00E6665E" w:rsidRDefault="00E6665E" w:rsidP="00E6665E">
            <w:pPr>
              <w:spacing w:line="280" w:lineRule="exact"/>
              <w:jc w:val="center"/>
              <w:rPr>
                <w:rFonts w:ascii="宋体" w:hAnsi="宋体" w:cs="黑体"/>
                <w:b/>
                <w:bCs/>
                <w:sz w:val="18"/>
                <w:szCs w:val="18"/>
              </w:rPr>
            </w:pPr>
          </w:p>
        </w:tc>
      </w:tr>
      <w:tr w:rsidR="00E6665E" w:rsidRPr="00E6665E" w:rsidTr="00CB313A">
        <w:trPr>
          <w:trHeight w:val="365"/>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t>1</w:t>
            </w:r>
          </w:p>
        </w:tc>
        <w:tc>
          <w:tcPr>
            <w:tcW w:w="1576" w:type="dxa"/>
            <w:vMerge w:val="restart"/>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精简审批环节</w:t>
            </w:r>
          </w:p>
        </w:tc>
        <w:tc>
          <w:tcPr>
            <w:tcW w:w="5064"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全面梳理我市工程建设项目审批事项，取消不符合行政许可法的行政许可事项、无法律法规依据的其他审批事项。</w:t>
            </w:r>
          </w:p>
        </w:tc>
        <w:tc>
          <w:tcPr>
            <w:tcW w:w="1878"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2019年8月底</w:t>
            </w:r>
          </w:p>
        </w:tc>
      </w:tr>
      <w:tr w:rsidR="00E6665E" w:rsidRPr="00E6665E" w:rsidTr="00CB313A">
        <w:trPr>
          <w:trHeight w:val="397"/>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t>2</w:t>
            </w:r>
          </w:p>
        </w:tc>
        <w:tc>
          <w:tcPr>
            <w:tcW w:w="1576" w:type="dxa"/>
            <w:vMerge/>
            <w:vAlign w:val="center"/>
          </w:tcPr>
          <w:p w:rsidR="00E6665E" w:rsidRPr="00E6665E" w:rsidRDefault="00E6665E" w:rsidP="00E6665E">
            <w:pPr>
              <w:spacing w:line="280" w:lineRule="exact"/>
              <w:rPr>
                <w:rFonts w:ascii="宋体" w:hAnsi="宋体"/>
                <w:sz w:val="18"/>
                <w:szCs w:val="18"/>
              </w:rPr>
            </w:pPr>
          </w:p>
        </w:tc>
        <w:tc>
          <w:tcPr>
            <w:tcW w:w="5064"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取消不涉及新增建设用地的项目用地预审。不涉及新增建设用地，城镇建设用地范围内使用已批准建设用地进行建设的项目，不再进行建设用地预审。</w:t>
            </w:r>
          </w:p>
        </w:tc>
        <w:tc>
          <w:tcPr>
            <w:tcW w:w="1878"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2019年8月底</w:t>
            </w:r>
          </w:p>
        </w:tc>
      </w:tr>
      <w:tr w:rsidR="00E6665E" w:rsidRPr="00E6665E" w:rsidTr="00CB313A">
        <w:trPr>
          <w:trHeight w:val="587"/>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t>3</w:t>
            </w:r>
          </w:p>
        </w:tc>
        <w:tc>
          <w:tcPr>
            <w:tcW w:w="1576" w:type="dxa"/>
            <w:vMerge/>
            <w:vAlign w:val="center"/>
          </w:tcPr>
          <w:p w:rsidR="00E6665E" w:rsidRPr="00E6665E" w:rsidRDefault="00E6665E" w:rsidP="00E6665E">
            <w:pPr>
              <w:spacing w:line="280" w:lineRule="exact"/>
              <w:rPr>
                <w:rFonts w:ascii="宋体" w:hAnsi="宋体"/>
                <w:sz w:val="18"/>
                <w:szCs w:val="18"/>
              </w:rPr>
            </w:pPr>
          </w:p>
        </w:tc>
        <w:tc>
          <w:tcPr>
            <w:tcW w:w="5064"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取消小型构筑物建设工程规划许可证。候车亭、岗亭和公共自行车站点，建筑外挂设备和建筑室内装修装饰，景观水池和园林小品，充电桩和小型基座，道路交通安全设施等小型构筑物，项目用地范围内的施工用房，以及道路维修工程，不再办理建设工程规划许可证。</w:t>
            </w:r>
          </w:p>
        </w:tc>
        <w:tc>
          <w:tcPr>
            <w:tcW w:w="1878"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2019年8月底</w:t>
            </w:r>
          </w:p>
        </w:tc>
      </w:tr>
      <w:tr w:rsidR="00E6665E" w:rsidRPr="00E6665E" w:rsidTr="00CB313A">
        <w:trPr>
          <w:trHeight w:val="235"/>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t>4</w:t>
            </w:r>
          </w:p>
        </w:tc>
        <w:tc>
          <w:tcPr>
            <w:tcW w:w="1576" w:type="dxa"/>
            <w:vMerge/>
            <w:vAlign w:val="center"/>
          </w:tcPr>
          <w:p w:rsidR="00E6665E" w:rsidRPr="00E6665E" w:rsidRDefault="00E6665E" w:rsidP="00E6665E">
            <w:pPr>
              <w:spacing w:line="280" w:lineRule="exact"/>
              <w:rPr>
                <w:rFonts w:ascii="宋体" w:hAnsi="宋体"/>
                <w:sz w:val="18"/>
                <w:szCs w:val="18"/>
              </w:rPr>
            </w:pPr>
          </w:p>
        </w:tc>
        <w:tc>
          <w:tcPr>
            <w:tcW w:w="5064"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取消办理测绘地理信息查询审批。开放“天地图•聊城” 有关地理信息数据，社会公众通过互联网可以直接访问注册查询。</w:t>
            </w:r>
          </w:p>
        </w:tc>
        <w:tc>
          <w:tcPr>
            <w:tcW w:w="1878"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w:t>
            </w:r>
          </w:p>
        </w:tc>
        <w:tc>
          <w:tcPr>
            <w:tcW w:w="1356"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2019年8月底</w:t>
            </w:r>
          </w:p>
        </w:tc>
      </w:tr>
      <w:tr w:rsidR="00E6665E" w:rsidRPr="00E6665E" w:rsidTr="00CB313A">
        <w:trPr>
          <w:trHeight w:val="246"/>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t>5</w:t>
            </w:r>
          </w:p>
        </w:tc>
        <w:tc>
          <w:tcPr>
            <w:tcW w:w="1576" w:type="dxa"/>
            <w:vMerge/>
            <w:vAlign w:val="center"/>
          </w:tcPr>
          <w:p w:rsidR="00E6665E" w:rsidRPr="00E6665E" w:rsidRDefault="00E6665E" w:rsidP="00E6665E">
            <w:pPr>
              <w:spacing w:line="280" w:lineRule="exact"/>
              <w:rPr>
                <w:rFonts w:ascii="宋体" w:hAnsi="宋体"/>
                <w:sz w:val="18"/>
                <w:szCs w:val="18"/>
              </w:rPr>
            </w:pPr>
          </w:p>
        </w:tc>
        <w:tc>
          <w:tcPr>
            <w:tcW w:w="5064"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暂停征收城市开发项目片内基础设施配套费。</w:t>
            </w:r>
          </w:p>
        </w:tc>
        <w:tc>
          <w:tcPr>
            <w:tcW w:w="1878"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市财政局、市行政审批局、市住房城乡建设局</w:t>
            </w:r>
          </w:p>
        </w:tc>
        <w:tc>
          <w:tcPr>
            <w:tcW w:w="2373"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sz w:val="18"/>
                <w:szCs w:val="18"/>
              </w:rPr>
            </w:pPr>
            <w:r w:rsidRPr="00E6665E">
              <w:rPr>
                <w:rFonts w:ascii="宋体" w:hAnsi="宋体"/>
                <w:sz w:val="18"/>
                <w:szCs w:val="18"/>
              </w:rPr>
              <w:t>2019年8月底</w:t>
            </w:r>
          </w:p>
        </w:tc>
      </w:tr>
      <w:tr w:rsidR="00E6665E" w:rsidRPr="00E6665E" w:rsidTr="00CB313A">
        <w:trPr>
          <w:trHeight w:val="289"/>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6</w:t>
            </w:r>
          </w:p>
        </w:tc>
        <w:tc>
          <w:tcPr>
            <w:tcW w:w="1576" w:type="dxa"/>
            <w:vMerge/>
            <w:vAlign w:val="center"/>
          </w:tcPr>
          <w:p w:rsidR="00E6665E" w:rsidRPr="00E6665E" w:rsidRDefault="00E6665E" w:rsidP="00E6665E">
            <w:pPr>
              <w:spacing w:line="280" w:lineRule="exact"/>
              <w:rPr>
                <w:rFonts w:ascii="宋体" w:hAnsi="宋体"/>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取消征占地面积不足0.5公顷且挖填土石方总量不足1千立方米</w:t>
            </w:r>
            <w:r w:rsidRPr="00E6665E">
              <w:rPr>
                <w:rFonts w:ascii="宋体" w:hAnsi="宋体" w:cs="黑体"/>
                <w:color w:val="000000"/>
                <w:sz w:val="18"/>
                <w:szCs w:val="18"/>
              </w:rPr>
              <w:lastRenderedPageBreak/>
              <w:t>的项目水土保持方案审批。</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lastRenderedPageBreak/>
              <w:t>市行政</w:t>
            </w:r>
            <w:proofErr w:type="gramStart"/>
            <w:r w:rsidRPr="00E6665E">
              <w:rPr>
                <w:rFonts w:ascii="宋体" w:hAnsi="宋体" w:cs="黑体"/>
                <w:color w:val="000000"/>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pacing w:val="-8"/>
                <w:sz w:val="18"/>
                <w:szCs w:val="18"/>
              </w:rPr>
            </w:pPr>
            <w:r w:rsidRPr="00E6665E">
              <w:rPr>
                <w:rFonts w:ascii="宋体" w:hAnsi="宋体" w:cs="黑体"/>
                <w:spacing w:val="-8"/>
                <w:sz w:val="18"/>
                <w:szCs w:val="18"/>
              </w:rPr>
              <w:t>市水利局，各县（市、区）人民</w:t>
            </w:r>
            <w:r w:rsidRPr="00E6665E">
              <w:rPr>
                <w:rFonts w:ascii="宋体" w:hAnsi="宋体" w:cs="黑体"/>
                <w:spacing w:val="-8"/>
                <w:sz w:val="18"/>
                <w:szCs w:val="18"/>
              </w:rPr>
              <w:lastRenderedPageBreak/>
              <w:t>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2019年8月底</w:t>
            </w:r>
          </w:p>
        </w:tc>
      </w:tr>
      <w:tr w:rsidR="00E6665E" w:rsidRPr="00E6665E" w:rsidTr="00CB313A">
        <w:trPr>
          <w:trHeight w:val="623"/>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7</w:t>
            </w:r>
          </w:p>
        </w:tc>
        <w:tc>
          <w:tcPr>
            <w:tcW w:w="157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下放审批权限</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按照方便企业和群众办事的原则，工程建设项目除法律、法规、规章明确要求由市级审批的外，原则上实行全链条建设属地审批管理。承接下放审批事项的下级机关要加强力量配备，提高审批效能。市级相关部门要加强对下放事项的沟通协调，开展指导培训，保障审批运行。</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市委编办</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495"/>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8</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合并审批事项</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对由同一部门实施的管理内容相近或者属于同</w:t>
            </w:r>
            <w:proofErr w:type="gramStart"/>
            <w:r w:rsidRPr="00E6665E">
              <w:rPr>
                <w:rFonts w:ascii="宋体" w:hAnsi="宋体" w:cs="黑体"/>
                <w:sz w:val="18"/>
                <w:szCs w:val="18"/>
              </w:rPr>
              <w:t>一办理</w:t>
            </w:r>
            <w:proofErr w:type="gramEnd"/>
            <w:r w:rsidRPr="00E6665E">
              <w:rPr>
                <w:rFonts w:ascii="宋体" w:hAnsi="宋体" w:cs="黑体"/>
                <w:sz w:val="18"/>
                <w:szCs w:val="18"/>
              </w:rPr>
              <w:t>阶段的多个审批事项，整合为一个审批事项。</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70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9</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合并办理建设项目选址意见书和用地预审。建设单位可一并向当地自然资源和规划主管部门提出用地预审和选址意见书的申请，根据预审和选址意见办理层级和权限，自行选择批后</w:t>
            </w:r>
            <w:proofErr w:type="gramStart"/>
            <w:r w:rsidRPr="00E6665E">
              <w:rPr>
                <w:rFonts w:ascii="宋体" w:hAnsi="宋体" w:cs="黑体"/>
                <w:color w:val="000000"/>
                <w:sz w:val="18"/>
                <w:szCs w:val="18"/>
              </w:rPr>
              <w:t>一并或</w:t>
            </w:r>
            <w:proofErr w:type="gramEnd"/>
            <w:r w:rsidRPr="00E6665E">
              <w:rPr>
                <w:rFonts w:ascii="宋体" w:hAnsi="宋体" w:cs="黑体"/>
                <w:color w:val="000000"/>
                <w:sz w:val="18"/>
                <w:szCs w:val="18"/>
              </w:rPr>
              <w:t>单独领取用地预审意见和选址意见书。</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355"/>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10</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合并办理临时用地审批和临时用地规划许可。建设单位可一并向当地自然资源和规划主管部门提出临时用地审批和临时用地规划许可证申请，县（市、区）自然资源和规划主管部门一并受理、办理和核发临时用地批文和临时用地规划许可证。</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35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11</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合并办理工程质量监督注册、安全施工措施备案和施工许可证核发。</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color w:val="000000"/>
                <w:sz w:val="18"/>
                <w:szCs w:val="18"/>
              </w:rPr>
              <w:t>市行政</w:t>
            </w:r>
            <w:proofErr w:type="gramStart"/>
            <w:r w:rsidRPr="00E6665E">
              <w:rPr>
                <w:rFonts w:ascii="宋体" w:hAnsi="宋体" w:cs="黑体"/>
                <w:color w:val="000000"/>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市住房城乡建设局，各县（市、区）人民政府、市属开发区管委会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43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12</w:t>
            </w:r>
          </w:p>
        </w:tc>
        <w:tc>
          <w:tcPr>
            <w:tcW w:w="157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转变管理方式</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对可通过征求相关部门意见方式或共享信息替代的审批事项，调</w:t>
            </w:r>
            <w:r w:rsidRPr="00E6665E">
              <w:rPr>
                <w:rFonts w:ascii="宋体" w:hAnsi="宋体" w:cs="黑体"/>
                <w:sz w:val="18"/>
                <w:szCs w:val="18"/>
              </w:rPr>
              <w:lastRenderedPageBreak/>
              <w:t>整为政府内部协作事项。</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lastRenderedPageBreak/>
              <w:t>市行政审批局、市发展</w:t>
            </w:r>
            <w:r w:rsidRPr="00E6665E">
              <w:rPr>
                <w:rFonts w:ascii="宋体" w:hAnsi="宋体" w:cs="黑体"/>
                <w:sz w:val="18"/>
                <w:szCs w:val="18"/>
              </w:rPr>
              <w:lastRenderedPageBreak/>
              <w:t>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市直有关部门，各县（市、区）</w:t>
            </w:r>
            <w:r w:rsidRPr="00E6665E">
              <w:rPr>
                <w:rFonts w:ascii="宋体" w:hAnsi="宋体" w:cs="黑体"/>
                <w:sz w:val="18"/>
                <w:szCs w:val="18"/>
              </w:rPr>
              <w:lastRenderedPageBreak/>
              <w:t>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2019年8月底</w:t>
            </w:r>
          </w:p>
        </w:tc>
      </w:tr>
      <w:tr w:rsidR="00E6665E" w:rsidRPr="00E6665E" w:rsidTr="00CB313A">
        <w:trPr>
          <w:trHeight w:val="83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13</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转变管理方式</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设计方案审查只审查规划条件、建设条件及相关技术规定确定的规划控制要求，不再审查建筑内部平面及剖面设计。</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425"/>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14</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将建设项目竣工土地复核验收转变为</w:t>
            </w:r>
            <w:r w:rsidRPr="00E6665E">
              <w:rPr>
                <w:rFonts w:ascii="宋体" w:hAnsi="宋体" w:cs="黑体"/>
                <w:color w:val="000000"/>
                <w:sz w:val="18"/>
                <w:szCs w:val="18"/>
              </w:rPr>
              <w:t>自然资源</w:t>
            </w:r>
            <w:r w:rsidRPr="00E6665E">
              <w:rPr>
                <w:rFonts w:ascii="宋体" w:hAnsi="宋体" w:cs="黑体"/>
                <w:bCs/>
                <w:color w:val="000000"/>
                <w:sz w:val="18"/>
                <w:szCs w:val="18"/>
              </w:rPr>
              <w:t>和规划部门的内部工作，通过部门信息共享竣工验收“多测合一”成果、项目开竣工时间、土地费用缴纳情况等情况，依职权主动完成土地复核验收工作。</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603"/>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15</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调整审批时序</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科学、合理调整审批事项，有序穿插，提速提效。</w:t>
            </w:r>
          </w:p>
        </w:tc>
        <w:tc>
          <w:tcPr>
            <w:tcW w:w="1878" w:type="dxa"/>
            <w:vAlign w:val="center"/>
          </w:tcPr>
          <w:p w:rsidR="00E6665E" w:rsidRPr="00E6665E" w:rsidRDefault="00E6665E" w:rsidP="00E6665E">
            <w:pPr>
              <w:spacing w:line="280" w:lineRule="exact"/>
              <w:rPr>
                <w:rFonts w:ascii="宋体" w:hAnsi="宋体" w:cs="黑体"/>
                <w:spacing w:val="-6"/>
                <w:sz w:val="18"/>
                <w:szCs w:val="18"/>
              </w:rPr>
            </w:pPr>
            <w:r w:rsidRPr="00E6665E">
              <w:rPr>
                <w:rFonts w:ascii="宋体" w:hAnsi="宋体" w:cs="黑体"/>
                <w:spacing w:val="-6"/>
                <w:sz w:val="18"/>
                <w:szCs w:val="18"/>
              </w:rPr>
              <w:t>市行政审批局、市发展改革委、市自然资源和规划局、市住房城乡建设局、</w:t>
            </w:r>
            <w:proofErr w:type="gramStart"/>
            <w:r w:rsidRPr="00E6665E">
              <w:rPr>
                <w:rFonts w:ascii="宋体" w:hAnsi="宋体" w:cs="黑体"/>
                <w:color w:val="000000"/>
                <w:spacing w:val="-6"/>
                <w:sz w:val="18"/>
                <w:szCs w:val="18"/>
              </w:rPr>
              <w:t>国网聊城</w:t>
            </w:r>
            <w:proofErr w:type="gramEnd"/>
            <w:r w:rsidRPr="00E6665E">
              <w:rPr>
                <w:rFonts w:ascii="宋体" w:hAnsi="宋体" w:cs="黑体"/>
                <w:color w:val="000000"/>
                <w:spacing w:val="-6"/>
                <w:sz w:val="18"/>
                <w:szCs w:val="18"/>
              </w:rPr>
              <w:t>供电公司</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378"/>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16</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地震安全性评价在工程设计前完成即可。</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市行政</w:t>
            </w:r>
            <w:proofErr w:type="gramStart"/>
            <w:r w:rsidRPr="00E6665E">
              <w:rPr>
                <w:rFonts w:ascii="宋体" w:hAnsi="宋体" w:cs="黑体"/>
                <w:color w:val="000000"/>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397"/>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17</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环境影响评价、文物影响评价、节能评价等评估评价和取水许可等事项在开工前完成即可。</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市行政</w:t>
            </w:r>
            <w:proofErr w:type="gramStart"/>
            <w:r w:rsidRPr="00E6665E">
              <w:rPr>
                <w:rFonts w:ascii="宋体" w:hAnsi="宋体" w:cs="黑体"/>
                <w:color w:val="000000"/>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385"/>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lastRenderedPageBreak/>
              <w:t>18</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shd w:val="clear" w:color="auto" w:fill="FFFFFF"/>
              </w:rPr>
              <w:t>将供水、供电、燃气、热力、排水、通信等市政公用基础设施的报装提前到开工前办理，住宅小区项目的报装提前到建筑设计阶段，与建筑物同步进行设计和施工图审查，在工程施工阶段同步完成相关设施建设，竣工验收后直接办理接入事宜</w:t>
            </w:r>
            <w:r w:rsidRPr="00E6665E">
              <w:rPr>
                <w:rFonts w:ascii="宋体" w:hAnsi="宋体" w:cs="黑体"/>
                <w:color w:val="000000"/>
                <w:sz w:val="18"/>
                <w:szCs w:val="18"/>
              </w:rPr>
              <w:t>。</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color w:val="000000"/>
                <w:sz w:val="18"/>
                <w:szCs w:val="18"/>
              </w:rPr>
              <w:t>市住房城乡建设局、</w:t>
            </w:r>
            <w:proofErr w:type="gramStart"/>
            <w:r w:rsidRPr="00E6665E">
              <w:rPr>
                <w:rFonts w:ascii="宋体" w:hAnsi="宋体" w:cs="黑体"/>
                <w:color w:val="000000"/>
                <w:sz w:val="18"/>
                <w:szCs w:val="18"/>
              </w:rPr>
              <w:t>国网聊城</w:t>
            </w:r>
            <w:proofErr w:type="gramEnd"/>
            <w:r w:rsidRPr="00E6665E">
              <w:rPr>
                <w:rFonts w:ascii="宋体" w:hAnsi="宋体" w:cs="黑体"/>
                <w:color w:val="000000"/>
                <w:sz w:val="18"/>
                <w:szCs w:val="18"/>
              </w:rPr>
              <w:t>供电公司</w:t>
            </w:r>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274"/>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19</w:t>
            </w:r>
          </w:p>
        </w:tc>
        <w:tc>
          <w:tcPr>
            <w:tcW w:w="157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规范审批事项</w:t>
            </w:r>
          </w:p>
        </w:tc>
        <w:tc>
          <w:tcPr>
            <w:tcW w:w="5064" w:type="dxa"/>
            <w:vAlign w:val="center"/>
          </w:tcPr>
          <w:p w:rsidR="00E6665E" w:rsidRPr="00E6665E" w:rsidRDefault="00E6665E" w:rsidP="00E6665E">
            <w:pPr>
              <w:spacing w:line="280" w:lineRule="exact"/>
              <w:rPr>
                <w:rFonts w:ascii="宋体" w:hAnsi="宋体" w:cs="黑体"/>
                <w:color w:val="000000"/>
                <w:sz w:val="18"/>
                <w:szCs w:val="18"/>
                <w:shd w:val="clear" w:color="auto" w:fill="FFFFFF"/>
              </w:rPr>
            </w:pPr>
            <w:r w:rsidRPr="00E6665E">
              <w:rPr>
                <w:rFonts w:ascii="宋体" w:hAnsi="宋体" w:cs="黑体"/>
                <w:color w:val="000000"/>
                <w:sz w:val="18"/>
                <w:szCs w:val="18"/>
              </w:rPr>
              <w:t>对市级</w:t>
            </w:r>
            <w:r w:rsidRPr="00E6665E">
              <w:rPr>
                <w:rFonts w:ascii="宋体" w:hAnsi="宋体" w:cs="黑体"/>
                <w:color w:val="000000"/>
                <w:sz w:val="18"/>
                <w:szCs w:val="18"/>
                <w:shd w:val="clear" w:color="auto" w:fill="FFFFFF"/>
              </w:rPr>
              <w:t>工程建设项目审批事项进行全面清理，统一事项名称、申请材料和审批时限，制定市级工程建设项目审批事项清单，并与投资项目清单相衔接，实行动态管理。</w:t>
            </w:r>
            <w:r w:rsidRPr="00E6665E">
              <w:rPr>
                <w:rFonts w:ascii="宋体" w:hAnsi="宋体" w:cs="黑体"/>
                <w:sz w:val="18"/>
                <w:szCs w:val="18"/>
              </w:rPr>
              <w:t>各县（市、区）、各部门参照清单执行，无故不得擅自增加审批事项。</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市行政审批局、市发展改革委</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398"/>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20</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合理划分审批阶段</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将工程建设项目审批流程主要划分为立项用地规划许可、工程建设许可、施工许可、竣工验收四个阶段，每个阶段确定牵头部门，实行 “并联审批、限时办结”。</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724"/>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21</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立项用地规划许可阶段主要包括项目审批核准 (备案)、选址意见书核发、土地出让或划拨手续办理、用地规划许可证核发等。</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市行政审批局、市发展改革委</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863"/>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22</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工程建设许可阶段主要包括设计方案审查、施工图设计文件审查、建设工程规划许可证核发等。</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278"/>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23</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施工许可阶段主要包括施工许可证核发等。</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268"/>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t>24</w:t>
            </w:r>
          </w:p>
          <w:p w:rsidR="00E6665E" w:rsidRPr="00E6665E" w:rsidRDefault="00E6665E" w:rsidP="00E6665E">
            <w:pPr>
              <w:snapToGrid w:val="0"/>
              <w:spacing w:line="280" w:lineRule="exact"/>
              <w:ind w:firstLine="705"/>
              <w:jc w:val="center"/>
              <w:rPr>
                <w:rFonts w:ascii="宋体" w:hAnsi="宋体"/>
                <w:color w:val="000000"/>
                <w:sz w:val="18"/>
                <w:szCs w:val="18"/>
              </w:rPr>
            </w:pP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竣工验收阶段主要包括规划、土地、消防、人防、档案等验收及</w:t>
            </w:r>
            <w:r w:rsidRPr="00E6665E">
              <w:rPr>
                <w:rFonts w:ascii="宋体" w:hAnsi="宋体" w:cs="黑体"/>
                <w:sz w:val="18"/>
                <w:szCs w:val="18"/>
              </w:rPr>
              <w:lastRenderedPageBreak/>
              <w:t>竣工验收备案等,房地产开发项目办理综合竣工验收备案，其他项目办理建设工程竣工验收备案。</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市行政审批局、市住房</w:t>
            </w:r>
            <w:r w:rsidRPr="00E6665E">
              <w:rPr>
                <w:rFonts w:ascii="宋体" w:hAnsi="宋体" w:cs="黑体"/>
                <w:sz w:val="18"/>
                <w:szCs w:val="18"/>
              </w:rPr>
              <w:lastRenderedPageBreak/>
              <w:t>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市直有关部门，各县（市、区）</w:t>
            </w:r>
            <w:r w:rsidRPr="00E6665E">
              <w:rPr>
                <w:rFonts w:ascii="宋体" w:hAnsi="宋体" w:cs="黑体"/>
                <w:sz w:val="18"/>
                <w:szCs w:val="18"/>
              </w:rPr>
              <w:lastRenderedPageBreak/>
              <w:t>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2019年8月底</w:t>
            </w:r>
          </w:p>
        </w:tc>
      </w:tr>
      <w:tr w:rsidR="00E6665E" w:rsidRPr="00E6665E" w:rsidTr="00CB313A">
        <w:trPr>
          <w:trHeight w:val="96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25</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分类制定审批流程</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对市级工程建设项目按照社会投资工业建筑工程、社会投资民用建筑工程和政府投资建筑工程进行分类，进一步梳理合并审批流程，制定流程图。</w:t>
            </w:r>
          </w:p>
        </w:tc>
        <w:tc>
          <w:tcPr>
            <w:tcW w:w="1878" w:type="dxa"/>
            <w:vAlign w:val="center"/>
          </w:tcPr>
          <w:p w:rsidR="00E6665E" w:rsidRPr="00E6665E" w:rsidRDefault="00E6665E" w:rsidP="00E6665E">
            <w:pPr>
              <w:spacing w:line="280" w:lineRule="exact"/>
              <w:rPr>
                <w:rFonts w:ascii="宋体" w:hAnsi="宋体" w:cs="黑体"/>
                <w:spacing w:val="-6"/>
                <w:sz w:val="18"/>
                <w:szCs w:val="18"/>
              </w:rPr>
            </w:pPr>
            <w:r w:rsidRPr="00E6665E">
              <w:rPr>
                <w:rFonts w:ascii="宋体" w:hAnsi="宋体" w:cs="黑体"/>
                <w:spacing w:val="-6"/>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68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26</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对用地要求明确、规划条件确定、选址和规模等无变化、带工程设计方案出让土地的工业项目，可将工程建设许可和施工许可合并为一个阶段，不再进行设计方案审核和施工图审查，实行“拿地即开工”审批模式，研究制定“拿地即开工”实施办法，明确实施范围、原则、流程等。</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681"/>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27</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实施</w:t>
            </w:r>
            <w:r w:rsidRPr="00E6665E">
              <w:rPr>
                <w:rFonts w:ascii="宋体" w:hAnsi="宋体" w:cs="黑体"/>
                <w:color w:val="000000"/>
                <w:sz w:val="18"/>
                <w:szCs w:val="18"/>
                <w:shd w:val="clear" w:color="auto" w:fill="FFFFFF"/>
              </w:rPr>
              <w:t>联审联办</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制定施工图设计文件联合审查管理办法，明确审查内容、审查标准、审查方式和审查时限，将消防，人防等技术审查并入施工图设计文件审查，相关部门不再进行技术审查，不再出具相关设计审核意见。推动数字化图审工作，实施施工图审查无纸化申报和施工图网上审查,实现多图联审全过程数字化。</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549"/>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28</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制定多测合一工作管理办法，将竣工验收事项涉及的测量项目及产权登记手续涉及的房产测绘等，合并为一个综合性联合测量项目，实行一次委托，统一测绘成果共享，明确实施范围、工作流程、资质要求等具体内容。</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044"/>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lastRenderedPageBreak/>
              <w:t>29</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根据不同类别工程，分别制定联合竣工验收管理办法，实行规划，土地，消防，人防档案等事项限时联合验收，明确验收标准、工作规则、办事流程和验收时限等，统一出具验收意见。</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市行政审批局、市住房城乡建设局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324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30</w:t>
            </w:r>
          </w:p>
        </w:tc>
        <w:tc>
          <w:tcPr>
            <w:tcW w:w="157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实行区域评估</w:t>
            </w:r>
          </w:p>
        </w:tc>
        <w:tc>
          <w:tcPr>
            <w:tcW w:w="5064" w:type="dxa"/>
            <w:vAlign w:val="center"/>
          </w:tcPr>
          <w:p w:rsidR="00E6665E" w:rsidRPr="00E6665E" w:rsidRDefault="00E6665E" w:rsidP="00E6665E">
            <w:pPr>
              <w:spacing w:line="240" w:lineRule="exact"/>
              <w:rPr>
                <w:rFonts w:ascii="宋体" w:hAnsi="宋体" w:cs="黑体"/>
                <w:sz w:val="18"/>
                <w:szCs w:val="18"/>
              </w:rPr>
            </w:pPr>
            <w:r w:rsidRPr="00E6665E">
              <w:rPr>
                <w:rFonts w:ascii="宋体" w:hAnsi="宋体" w:cs="黑体"/>
                <w:color w:val="000000"/>
                <w:sz w:val="18"/>
                <w:szCs w:val="18"/>
              </w:rPr>
              <w:t>各类经济开发区、工业园区按照《聊城市人民政府办公室关于开展建设项目区域化评估评审工作的通知》（</w:t>
            </w:r>
            <w:proofErr w:type="gramStart"/>
            <w:r w:rsidRPr="00E6665E">
              <w:rPr>
                <w:rFonts w:ascii="宋体" w:hAnsi="宋体" w:cs="黑体"/>
                <w:color w:val="000000"/>
                <w:sz w:val="18"/>
                <w:szCs w:val="18"/>
              </w:rPr>
              <w:t>聊政办</w:t>
            </w:r>
            <w:proofErr w:type="gramEnd"/>
            <w:r w:rsidRPr="00E6665E">
              <w:rPr>
                <w:rFonts w:ascii="宋体" w:hAnsi="宋体" w:cs="黑体"/>
                <w:color w:val="000000"/>
                <w:sz w:val="18"/>
                <w:szCs w:val="18"/>
              </w:rPr>
              <w:t>字〔2016〕71号）规定，系统推开区域评估工作。由功能区管理机构牵头组织对环境影响、节能、地震安全性、地质灾害危险性、压覆重要矿产资源、水土保持、防洪影响、水资源论证、文物影响、交通影响、雷电灾害风险等事项实行区域评估。依据区域评价，明确项目准入标准，</w:t>
            </w:r>
            <w:r w:rsidRPr="00E6665E">
              <w:rPr>
                <w:rFonts w:ascii="宋体" w:hAnsi="宋体" w:cs="黑体"/>
                <w:color w:val="000000"/>
                <w:sz w:val="18"/>
                <w:szCs w:val="18"/>
                <w:shd w:val="clear" w:color="auto" w:fill="FFFFFF"/>
              </w:rPr>
              <w:t>在土地出让或划拨前，告知建设单位相关建设要求。</w:t>
            </w:r>
            <w:r w:rsidRPr="00E6665E">
              <w:rPr>
                <w:rFonts w:ascii="宋体" w:hAnsi="宋体" w:cs="黑体"/>
                <w:color w:val="000000"/>
                <w:sz w:val="18"/>
                <w:szCs w:val="18"/>
              </w:rPr>
              <w:t>区域内工程建设项目共享区域评估评审结果，</w:t>
            </w:r>
            <w:r w:rsidRPr="00E6665E">
              <w:rPr>
                <w:rFonts w:ascii="宋体" w:hAnsi="宋体" w:cs="黑体"/>
                <w:color w:val="000000"/>
                <w:sz w:val="18"/>
                <w:szCs w:val="18"/>
                <w:shd w:val="clear" w:color="auto" w:fill="FFFFFF"/>
              </w:rPr>
              <w:t>单体建设项目审批时，简化相关环节、申请材料或者不再进行评估评审。各县（市区）人民政府、市属开发区管委会根据各地实际</w:t>
            </w:r>
            <w:r w:rsidRPr="00E6665E">
              <w:rPr>
                <w:rFonts w:ascii="宋体" w:hAnsi="宋体" w:cs="黑体"/>
                <w:color w:val="000000"/>
                <w:sz w:val="18"/>
                <w:szCs w:val="18"/>
              </w:rPr>
              <w:t>制定并实施区域评估细则方案，明确实施区域评估的主体、实施范围、内容、方式、加强事中事后监管的具体措施等。</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各县（市、区）人民政府、市属开发区管委会</w:t>
            </w:r>
          </w:p>
        </w:tc>
        <w:tc>
          <w:tcPr>
            <w:tcW w:w="2373" w:type="dxa"/>
            <w:vAlign w:val="center"/>
          </w:tcPr>
          <w:p w:rsidR="00E6665E" w:rsidRPr="00E6665E" w:rsidRDefault="00E6665E" w:rsidP="00E6665E">
            <w:pPr>
              <w:spacing w:line="280" w:lineRule="exact"/>
              <w:jc w:val="center"/>
              <w:rPr>
                <w:rFonts w:ascii="宋体" w:hAnsi="宋体" w:cs="黑体"/>
                <w:b/>
                <w:bCs/>
                <w:sz w:val="18"/>
                <w:szCs w:val="18"/>
              </w:rPr>
            </w:pPr>
            <w:r w:rsidRPr="00E6665E">
              <w:rPr>
                <w:rFonts w:ascii="宋体" w:hAnsi="宋体" w:cs="黑体"/>
                <w:b/>
                <w:bCs/>
                <w:sz w:val="18"/>
                <w:szCs w:val="18"/>
              </w:rPr>
              <w:t>——</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56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31</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推行告知承诺制</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制定并实施审批告知承诺制管理办法，明确告知承诺制的具体要求以及加强事中事后监管的措施等。对通过事中事后监管能够纠正不符合审批条件的行为且不会产生严重后果的审批事项，各申请人按照要求</w:t>
            </w:r>
            <w:proofErr w:type="gramStart"/>
            <w:r w:rsidRPr="00E6665E">
              <w:rPr>
                <w:rFonts w:ascii="宋体" w:hAnsi="宋体" w:cs="黑体"/>
                <w:sz w:val="18"/>
                <w:szCs w:val="18"/>
              </w:rPr>
              <w:t>作出</w:t>
            </w:r>
            <w:proofErr w:type="gramEnd"/>
            <w:r w:rsidRPr="00E6665E">
              <w:rPr>
                <w:rFonts w:ascii="宋体" w:hAnsi="宋体" w:cs="黑体"/>
                <w:sz w:val="18"/>
                <w:szCs w:val="18"/>
              </w:rPr>
              <w:t>书面承诺的，审批部门可以直接</w:t>
            </w:r>
            <w:proofErr w:type="gramStart"/>
            <w:r w:rsidRPr="00E6665E">
              <w:rPr>
                <w:rFonts w:ascii="宋体" w:hAnsi="宋体" w:cs="黑体"/>
                <w:sz w:val="18"/>
                <w:szCs w:val="18"/>
              </w:rPr>
              <w:t>作出</w:t>
            </w:r>
            <w:proofErr w:type="gramEnd"/>
            <w:r w:rsidRPr="00E6665E">
              <w:rPr>
                <w:rFonts w:ascii="宋体" w:hAnsi="宋体" w:cs="黑体"/>
                <w:sz w:val="18"/>
                <w:szCs w:val="18"/>
              </w:rPr>
              <w:t>审批决定。</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84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32</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对《需开展地震安全性评价确定抗震设防要求的建设工程目录（暂行）》外的建设工程，实行抗震设防告知承诺制。</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市应急管理局，各县（市、区）人民政府、市属开发区管委会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560"/>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lastRenderedPageBreak/>
              <w:t>33</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征占地面积在0.5公顷以上5公顷以下或者挖填土石方总量在1千立方米以上5万立方米以下的项目水土保持方案表审批，实行告知承诺制。</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市水利局，各县（市、区）人民政府、市属开发区管委会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2055"/>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34</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实施施工</w:t>
            </w:r>
            <w:proofErr w:type="gramStart"/>
            <w:r w:rsidRPr="00E6665E">
              <w:rPr>
                <w:rFonts w:ascii="宋体" w:hAnsi="宋体" w:cs="黑体"/>
                <w:sz w:val="18"/>
                <w:szCs w:val="18"/>
              </w:rPr>
              <w:t>许可容缺图纸</w:t>
            </w:r>
            <w:proofErr w:type="gramEnd"/>
            <w:r w:rsidRPr="00E6665E">
              <w:rPr>
                <w:rFonts w:ascii="宋体" w:hAnsi="宋体" w:cs="黑体"/>
                <w:sz w:val="18"/>
                <w:szCs w:val="18"/>
              </w:rPr>
              <w:t>审查制，建设单位在将完整的</w:t>
            </w:r>
            <w:proofErr w:type="gramStart"/>
            <w:r w:rsidRPr="00E6665E">
              <w:rPr>
                <w:rFonts w:ascii="宋体" w:hAnsi="宋体" w:cs="黑体"/>
                <w:sz w:val="18"/>
                <w:szCs w:val="18"/>
              </w:rPr>
              <w:t>施工图送图审</w:t>
            </w:r>
            <w:proofErr w:type="gramEnd"/>
            <w:r w:rsidRPr="00E6665E">
              <w:rPr>
                <w:rFonts w:ascii="宋体" w:hAnsi="宋体" w:cs="黑体"/>
                <w:sz w:val="18"/>
                <w:szCs w:val="18"/>
              </w:rPr>
              <w:t>机构审查并取得受理回执后，可先进行告知承诺，办理施工许可手续，在进行施工图审查及修改回复的同时，建设单位可先行进行基坑开挖；含桩基的项目在通过桩基施工图设计文件审查后，方可进行桩基施工；在取得施工图审查合格书后，方可进行基础底板施工。</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市住房城乡建设局</w:t>
            </w:r>
            <w:r w:rsidRPr="00E6665E">
              <w:rPr>
                <w:rFonts w:ascii="宋体" w:hAnsi="宋体" w:cs="黑体"/>
                <w:color w:val="000000"/>
                <w:sz w:val="18"/>
                <w:szCs w:val="18"/>
              </w:rPr>
              <w:t>，</w:t>
            </w:r>
            <w:r w:rsidRPr="00E6665E">
              <w:rPr>
                <w:rFonts w:ascii="宋体" w:hAnsi="宋体" w:cs="黑体"/>
                <w:sz w:val="18"/>
                <w:szCs w:val="18"/>
              </w:rPr>
              <w:t>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2143"/>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35</w:t>
            </w:r>
          </w:p>
        </w:tc>
        <w:tc>
          <w:tcPr>
            <w:tcW w:w="157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建设工程建设项目审批管理系统</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复制国家和试点城市做法，建成贯通市县两级、覆盖各有关部门的工程建设项目审批管理系统。2019年底前实现工程建设项目审批管理系统与全国一体化在线政务服务平台的对接，推进工程建设项目审批管理系统与投资项目</w:t>
            </w:r>
            <w:proofErr w:type="gramStart"/>
            <w:r w:rsidRPr="00E6665E">
              <w:rPr>
                <w:rFonts w:ascii="宋体" w:hAnsi="宋体" w:cs="黑体"/>
                <w:sz w:val="18"/>
                <w:szCs w:val="18"/>
              </w:rPr>
              <w:t>在线审批</w:t>
            </w:r>
            <w:proofErr w:type="gramEnd"/>
            <w:r w:rsidRPr="00E6665E">
              <w:rPr>
                <w:rFonts w:ascii="宋体" w:hAnsi="宋体" w:cs="黑体"/>
                <w:sz w:val="18"/>
                <w:szCs w:val="18"/>
              </w:rPr>
              <w:t>监管平台等相关审批信息系统的互联互通。将工程建设项目审批管理系统分为“多规合一”业务协同系统、在线并联审批系统、事中事后监管系统、信息对接四大部分同步推进，同步委托专业技术公司实施。</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市自然资源和规划局、市行政审批局、市住房城乡建设局、市大数据局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2019年12月底</w:t>
            </w:r>
          </w:p>
        </w:tc>
      </w:tr>
      <w:tr w:rsidR="00E6665E" w:rsidRPr="00E6665E" w:rsidTr="00CB313A">
        <w:trPr>
          <w:trHeight w:val="647"/>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36</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“一个窗口”提供综合服务</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设立综合服务窗口。加强各级政务大厅建设，整合部门和</w:t>
            </w:r>
            <w:r w:rsidRPr="00E6665E">
              <w:rPr>
                <w:rFonts w:ascii="宋体" w:hAnsi="宋体" w:cs="黑体"/>
                <w:sz w:val="18"/>
                <w:szCs w:val="18"/>
              </w:rPr>
              <w:t>各市政公用单位分散设立的服务窗口，设立工程建设项目审批综合服务窗口，建立完善“前台受理、后台审核”运行机制，实现工程建设项目审批统一收件、发件、咨询的“一个窗口”服务和管理。研究并制定实施“一窗受理”的具体措施和运行规则。</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819"/>
          <w:jc w:val="center"/>
        </w:trPr>
        <w:tc>
          <w:tcPr>
            <w:tcW w:w="355" w:type="dxa"/>
            <w:vAlign w:val="center"/>
          </w:tcPr>
          <w:p w:rsidR="00E6665E" w:rsidRPr="00E6665E" w:rsidRDefault="00E6665E" w:rsidP="00E6665E">
            <w:pPr>
              <w:spacing w:line="280" w:lineRule="exact"/>
              <w:jc w:val="center"/>
              <w:rPr>
                <w:rFonts w:ascii="宋体" w:hAnsi="宋体"/>
                <w:sz w:val="18"/>
                <w:szCs w:val="18"/>
              </w:rPr>
            </w:pPr>
            <w:r w:rsidRPr="00E6665E">
              <w:rPr>
                <w:rFonts w:ascii="宋体" w:hAnsi="宋体"/>
                <w:sz w:val="18"/>
                <w:szCs w:val="18"/>
              </w:rPr>
              <w:lastRenderedPageBreak/>
              <w:t>37</w:t>
            </w:r>
          </w:p>
          <w:p w:rsidR="00E6665E" w:rsidRPr="00E6665E" w:rsidRDefault="00E6665E" w:rsidP="00E6665E">
            <w:pPr>
              <w:snapToGrid w:val="0"/>
              <w:spacing w:line="280" w:lineRule="exact"/>
              <w:ind w:firstLine="705"/>
              <w:jc w:val="center"/>
              <w:rPr>
                <w:rFonts w:ascii="宋体" w:hAnsi="宋体"/>
                <w:color w:val="000000"/>
                <w:sz w:val="18"/>
                <w:szCs w:val="18"/>
              </w:rPr>
            </w:pP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推行帮办代办服务。完善帮办代办服务机制，鼓励为申请人提供工程建设项目审批咨询、指导、协调和帮办代办等服务，帮助企业了解审批要求，提供相关申请材料清单，提高申报通过率。研究并制定实施帮办代办服务的制度办法，各级政务服务大厅建立帮办代办队伍。</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2461"/>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38</w:t>
            </w:r>
          </w:p>
        </w:tc>
        <w:tc>
          <w:tcPr>
            <w:tcW w:w="1576" w:type="dxa"/>
            <w:vAlign w:val="center"/>
          </w:tcPr>
          <w:p w:rsidR="00E6665E" w:rsidRPr="00E6665E" w:rsidRDefault="00E6665E" w:rsidP="00E6665E">
            <w:pPr>
              <w:spacing w:line="240" w:lineRule="exact"/>
              <w:rPr>
                <w:rFonts w:ascii="宋体" w:hAnsi="宋体" w:cs="黑体"/>
                <w:sz w:val="18"/>
                <w:szCs w:val="18"/>
              </w:rPr>
            </w:pPr>
            <w:r w:rsidRPr="00E6665E">
              <w:rPr>
                <w:rFonts w:ascii="宋体" w:hAnsi="宋体" w:cs="黑体"/>
                <w:color w:val="000000"/>
                <w:sz w:val="18"/>
                <w:szCs w:val="18"/>
              </w:rPr>
              <w:t>“一张蓝图”统筹项目实施</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梳理全市各类规划与空间管控要素，明确“多规合一”包含的规划目录、建立“多规合一”协调机制、明确形成数据目录、各类</w:t>
            </w:r>
            <w:proofErr w:type="gramStart"/>
            <w:r w:rsidRPr="00E6665E">
              <w:rPr>
                <w:rFonts w:ascii="宋体" w:hAnsi="宋体" w:cs="黑体"/>
                <w:color w:val="000000"/>
                <w:sz w:val="18"/>
                <w:szCs w:val="18"/>
              </w:rPr>
              <w:t>空间规划图层信息</w:t>
            </w:r>
            <w:proofErr w:type="gramEnd"/>
            <w:r w:rsidRPr="00E6665E">
              <w:rPr>
                <w:rFonts w:ascii="宋体" w:hAnsi="宋体" w:cs="黑体"/>
                <w:color w:val="000000"/>
                <w:sz w:val="18"/>
                <w:szCs w:val="18"/>
              </w:rPr>
              <w:t>，统筹整合各类空间规划等事项完成的具体要求和时间节点。整合主体功能区规划、土地利用规划、城乡规划、生态红线保护规划等重要空间规划和空间管控数据，明确生态保护红线、永久基本农田、城镇开发边界等控制线，形成管控边界清晰、责任主体明确和管控规则明晰的“一张蓝图”，构建“多规合一”信息协同平台，为工程建设项目审批管理系统策划生成项目提供规划依据。</w:t>
            </w:r>
            <w:r w:rsidRPr="00E6665E">
              <w:rPr>
                <w:rFonts w:ascii="宋体" w:hAnsi="宋体" w:cs="黑体"/>
                <w:color w:val="000000"/>
                <w:sz w:val="18"/>
                <w:szCs w:val="18"/>
                <w:shd w:val="clear" w:color="auto" w:fill="FFFFFF"/>
              </w:rPr>
              <w:t>完成差异图斑分析，制定消除空间规划矛盾和差异的工作计划，努力消除主要空间规划矛盾和差异，不断提高“一张蓝图”统筹项目实施效率。</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29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39</w:t>
            </w:r>
          </w:p>
        </w:tc>
        <w:tc>
          <w:tcPr>
            <w:tcW w:w="1576"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完善项目策划生成机制</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制定项目生成管理办法，统筹协调各部门对工程建设项目提出建设条件以及需要开展的评估事项等内容，有关部门依据 “一张蓝图”、城市近期建设规划和各有关行业发展规划，提出近期项目策划建议，建立项目储备库。</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color w:val="000000"/>
                <w:sz w:val="18"/>
                <w:szCs w:val="18"/>
              </w:rPr>
              <w:t>市发展改革委、市住房城乡建设局、市自然资源和规划局</w:t>
            </w:r>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2019年12月底</w:t>
            </w:r>
          </w:p>
        </w:tc>
      </w:tr>
      <w:tr w:rsidR="00E6665E" w:rsidRPr="00E6665E" w:rsidTr="00CB313A">
        <w:trPr>
          <w:trHeight w:val="37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40</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完善项目策划生成机制</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发展改革部门对工业项目、政府投资的公共建筑项目等提出建设条件要求。</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市发展改革委</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2019年12月底</w:t>
            </w:r>
          </w:p>
        </w:tc>
      </w:tr>
      <w:tr w:rsidR="00E6665E" w:rsidRPr="00E6665E" w:rsidTr="00CB313A">
        <w:trPr>
          <w:trHeight w:val="32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41</w:t>
            </w:r>
          </w:p>
        </w:tc>
        <w:tc>
          <w:tcPr>
            <w:tcW w:w="1576" w:type="dxa"/>
            <w:vMerge/>
            <w:vAlign w:val="center"/>
          </w:tcPr>
          <w:p w:rsidR="00E6665E" w:rsidRPr="00E6665E" w:rsidRDefault="00E6665E" w:rsidP="00E6665E">
            <w:pPr>
              <w:spacing w:line="280" w:lineRule="exact"/>
              <w:rPr>
                <w:rFonts w:ascii="宋体" w:hAnsi="宋体" w:cs="黑体"/>
                <w:color w:val="000000"/>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住房城乡建设部门对住房保障、城建基础设施及房地产开发项目</w:t>
            </w:r>
            <w:r w:rsidRPr="00E6665E">
              <w:rPr>
                <w:rFonts w:ascii="宋体" w:hAnsi="宋体" w:cs="黑体"/>
                <w:color w:val="000000"/>
                <w:sz w:val="18"/>
                <w:szCs w:val="18"/>
              </w:rPr>
              <w:lastRenderedPageBreak/>
              <w:t>提出建设条件要求。</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市住房城乡建设局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w:t>
            </w:r>
            <w:r w:rsidRPr="00E6665E">
              <w:rPr>
                <w:rFonts w:ascii="宋体" w:hAnsi="宋体" w:cs="黑体"/>
                <w:sz w:val="18"/>
                <w:szCs w:val="18"/>
              </w:rPr>
              <w:lastRenderedPageBreak/>
              <w:t>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lastRenderedPageBreak/>
              <w:t>2019年12月底</w:t>
            </w:r>
          </w:p>
        </w:tc>
      </w:tr>
      <w:tr w:rsidR="00E6665E" w:rsidRPr="00E6665E" w:rsidTr="00CB313A">
        <w:trPr>
          <w:trHeight w:val="279"/>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42</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自然资源和规划部门做好土地供应计划并组织实施。</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市自然资源和规划局</w:t>
            </w:r>
          </w:p>
        </w:tc>
        <w:tc>
          <w:tcPr>
            <w:tcW w:w="2373"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2019年12月底</w:t>
            </w:r>
          </w:p>
        </w:tc>
      </w:tr>
      <w:tr w:rsidR="00E6665E" w:rsidRPr="00E6665E" w:rsidTr="00CB313A">
        <w:trPr>
          <w:trHeight w:val="554"/>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43</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“一张表单”整合申报材料</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整合一张表单，各审批阶段牵头部门</w:t>
            </w:r>
            <w:proofErr w:type="gramStart"/>
            <w:r w:rsidRPr="00E6665E">
              <w:rPr>
                <w:rFonts w:ascii="宋体" w:hAnsi="宋体" w:cs="黑体"/>
                <w:sz w:val="18"/>
                <w:szCs w:val="18"/>
              </w:rPr>
              <w:t>整合审批</w:t>
            </w:r>
            <w:proofErr w:type="gramEnd"/>
            <w:r w:rsidRPr="00E6665E">
              <w:rPr>
                <w:rFonts w:ascii="宋体" w:hAnsi="宋体" w:cs="黑体"/>
                <w:sz w:val="18"/>
                <w:szCs w:val="18"/>
              </w:rPr>
              <w:t>事项办理指南、申报表格，将本阶段所有事项所需申请材料、申报表格进行整合，制作一份办事指南、一张申请表单，同一审批阶段内各审批部门共享，不得要求申请人重复提交申报材料。</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391"/>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44</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加强纸质材料共享、推进网上申报材料共用、实现审管结果互通，明确申报材料共享的内容和具体要求，实现不同审批阶段的审批部门共享申报材料。建立完善审批清单服务机制，为申请人提供项目需要审批的事项清单。</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市行政</w:t>
            </w:r>
            <w:proofErr w:type="gramStart"/>
            <w:r w:rsidRPr="00E6665E">
              <w:rPr>
                <w:rFonts w:ascii="宋体" w:hAnsi="宋体" w:cs="黑体"/>
                <w:sz w:val="18"/>
                <w:szCs w:val="18"/>
              </w:rPr>
              <w:t>审批局</w:t>
            </w:r>
            <w:proofErr w:type="gramEnd"/>
          </w:p>
        </w:tc>
        <w:tc>
          <w:tcPr>
            <w:tcW w:w="2373"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1298"/>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45</w:t>
            </w:r>
          </w:p>
        </w:tc>
        <w:tc>
          <w:tcPr>
            <w:tcW w:w="1576" w:type="dxa"/>
            <w:vMerge w:val="restart"/>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“一套机制”规范审批运行</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建立工程建设项目审批各</w:t>
            </w:r>
            <w:r w:rsidRPr="00E6665E">
              <w:rPr>
                <w:rFonts w:ascii="宋体" w:hAnsi="宋体" w:cs="黑体"/>
                <w:color w:val="000000"/>
                <w:sz w:val="18"/>
                <w:szCs w:val="18"/>
              </w:rPr>
              <w:t>个阶段配套及管理制度</w:t>
            </w:r>
            <w:r w:rsidRPr="00E6665E">
              <w:rPr>
                <w:rFonts w:ascii="宋体" w:hAnsi="宋体" w:cs="黑体"/>
                <w:color w:val="000000"/>
                <w:sz w:val="18"/>
                <w:szCs w:val="18"/>
                <w:shd w:val="clear" w:color="auto" w:fill="FFFFFF"/>
              </w:rPr>
              <w:t>，健全牵头部门负责制、协调机制、督查制度、“多规合一”部门协同机制、工程建设项目审批管理系统运行规则、加强事中事后监管制度，根据改革实践不断修正完善。</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市行政审批局、市发展改革委、市自然资源和规划局、市住房城乡建设局</w:t>
            </w:r>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2019年9月底</w:t>
            </w:r>
          </w:p>
        </w:tc>
      </w:tr>
      <w:tr w:rsidR="00E6665E" w:rsidRPr="00E6665E" w:rsidTr="00CB313A">
        <w:trPr>
          <w:trHeight w:val="1574"/>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noProof/>
                <w:color w:val="000000"/>
                <w:sz w:val="18"/>
                <w:szCs w:val="18"/>
              </w:rPr>
              <w:pict>
                <v:rect id="_x0000_s1032" style="position:absolute;left:0;text-align:left;margin-left:-119.15pt;margin-top:-20.9pt;width:105pt;height:73.8pt;z-index:251665408;mso-position-horizontal-relative:text;mso-position-vertical-relative:text" stroked="f">
                  <v:textbox style="layout-flow:vertical-ideographic" inset=",,0,0">
                    <w:txbxContent>
                      <w:p w:rsidR="00E6665E" w:rsidRDefault="00E6665E" w:rsidP="00E6665E">
                        <w:pPr>
                          <w:pStyle w:val="a3"/>
                          <w:jc w:val="right"/>
                        </w:pPr>
                      </w:p>
                    </w:txbxContent>
                  </v:textbox>
                </v:rect>
              </w:pict>
            </w:r>
            <w:r w:rsidRPr="00E6665E">
              <w:rPr>
                <w:rFonts w:ascii="宋体" w:hAnsi="宋体" w:cs="黑体"/>
                <w:sz w:val="18"/>
                <w:szCs w:val="18"/>
              </w:rPr>
              <w:t>46</w:t>
            </w:r>
          </w:p>
        </w:tc>
        <w:tc>
          <w:tcPr>
            <w:tcW w:w="1576" w:type="dxa"/>
            <w:vMerge/>
            <w:vAlign w:val="center"/>
          </w:tcPr>
          <w:p w:rsidR="00E6665E" w:rsidRPr="00E6665E" w:rsidRDefault="00E6665E" w:rsidP="00E6665E">
            <w:pPr>
              <w:spacing w:line="280" w:lineRule="exact"/>
              <w:rPr>
                <w:rFonts w:ascii="宋体" w:hAnsi="宋体" w:cs="黑体"/>
                <w:sz w:val="18"/>
                <w:szCs w:val="18"/>
              </w:rPr>
            </w:pP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shd w:val="clear" w:color="auto" w:fill="FFFFFF"/>
              </w:rPr>
              <w:t>各级各相关部门按照“谁起草、谁清理”“谁制定、谁清理”的原则，梳理本部门与工程建设项目审批制度改革要求不相符的相关制度。对相关地方性法规、政府规章需要</w:t>
            </w:r>
            <w:proofErr w:type="gramStart"/>
            <w:r w:rsidRPr="00E6665E">
              <w:rPr>
                <w:rFonts w:ascii="宋体" w:hAnsi="宋体" w:cs="黑体"/>
                <w:color w:val="000000"/>
                <w:sz w:val="18"/>
                <w:szCs w:val="18"/>
                <w:shd w:val="clear" w:color="auto" w:fill="FFFFFF"/>
              </w:rPr>
              <w:t>作出</w:t>
            </w:r>
            <w:proofErr w:type="gramEnd"/>
            <w:r w:rsidRPr="00E6665E">
              <w:rPr>
                <w:rFonts w:ascii="宋体" w:hAnsi="宋体" w:cs="黑体"/>
                <w:color w:val="000000"/>
                <w:sz w:val="18"/>
                <w:szCs w:val="18"/>
                <w:shd w:val="clear" w:color="auto" w:fill="FFFFFF"/>
              </w:rPr>
              <w:t>调整确认的，按立法程序提出清理意见；对相关规范性文件按照相关程序修改或者废止。</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市司法局</w:t>
            </w:r>
          </w:p>
        </w:tc>
        <w:tc>
          <w:tcPr>
            <w:tcW w:w="2373"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市直有关部门</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2019年12月底</w:t>
            </w:r>
          </w:p>
        </w:tc>
      </w:tr>
      <w:tr w:rsidR="00E6665E" w:rsidRPr="00E6665E" w:rsidTr="00CB313A">
        <w:trPr>
          <w:trHeight w:val="1726"/>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noProof/>
                <w:color w:val="000000"/>
                <w:sz w:val="18"/>
                <w:szCs w:val="18"/>
              </w:rPr>
              <w:lastRenderedPageBreak/>
              <w:pict>
                <v:rect id="_x0000_s1033" style="position:absolute;left:0;text-align:left;margin-left:-119.9pt;margin-top:-79.65pt;width:105pt;height:73.8pt;z-index:251666432;mso-position-horizontal-relative:text;mso-position-vertical-relative:text" stroked="f">
                  <v:textbox style="layout-flow:vertical-ideographic" inset=",,0,0">
                    <w:txbxContent>
                      <w:p w:rsidR="00E6665E" w:rsidRDefault="00E6665E" w:rsidP="00E6665E">
                        <w:pPr>
                          <w:pStyle w:val="a3"/>
                        </w:pPr>
                      </w:p>
                    </w:txbxContent>
                  </v:textbox>
                </v:rect>
              </w:pict>
            </w:r>
            <w:r w:rsidRPr="00E6665E">
              <w:rPr>
                <w:rFonts w:ascii="宋体" w:hAnsi="宋体" w:cs="黑体"/>
                <w:sz w:val="18"/>
                <w:szCs w:val="18"/>
              </w:rPr>
              <w:t>47</w:t>
            </w:r>
          </w:p>
        </w:tc>
        <w:tc>
          <w:tcPr>
            <w:tcW w:w="157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加强事中事后监管</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rPr>
              <w:t>全面推行以</w:t>
            </w:r>
            <w:r w:rsidRPr="00E6665E">
              <w:rPr>
                <w:rFonts w:ascii="宋体" w:hAnsi="宋体" w:cs="黑体"/>
                <w:sz w:val="18"/>
                <w:szCs w:val="18"/>
              </w:rPr>
              <w:t>“双随机、</w:t>
            </w:r>
            <w:proofErr w:type="gramStart"/>
            <w:r w:rsidRPr="00E6665E">
              <w:rPr>
                <w:rFonts w:ascii="宋体" w:hAnsi="宋体" w:cs="黑体"/>
                <w:sz w:val="18"/>
                <w:szCs w:val="18"/>
              </w:rPr>
              <w:t>一</w:t>
            </w:r>
            <w:proofErr w:type="gramEnd"/>
            <w:r w:rsidRPr="00E6665E">
              <w:rPr>
                <w:rFonts w:ascii="宋体" w:hAnsi="宋体" w:cs="黑体"/>
                <w:sz w:val="18"/>
                <w:szCs w:val="18"/>
              </w:rPr>
              <w:t>公开”</w:t>
            </w:r>
            <w:r w:rsidRPr="00E6665E">
              <w:rPr>
                <w:rFonts w:ascii="宋体" w:hAnsi="宋体" w:cs="黑体"/>
                <w:color w:val="000000"/>
                <w:sz w:val="18"/>
                <w:szCs w:val="18"/>
              </w:rPr>
              <w:t>为基本手段，以重点监管为补充，以信用监管为基础的新型监管机制，严肃查处违法违规行为。对于实行告知承诺制的审批事项，相关部门应当在规定时间内对承诺人履行承诺的情况进行检查，承诺人未履行承诺的，要依法撤销行政审批决定并依法追究承诺人的相关责任。</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市住房城乡建设局</w:t>
            </w:r>
          </w:p>
        </w:tc>
        <w:tc>
          <w:tcPr>
            <w:tcW w:w="2373"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924"/>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48</w:t>
            </w:r>
          </w:p>
        </w:tc>
        <w:tc>
          <w:tcPr>
            <w:tcW w:w="1576"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加强信用体系建设</w:t>
            </w:r>
          </w:p>
        </w:tc>
        <w:tc>
          <w:tcPr>
            <w:tcW w:w="5064"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依托工程建设项目审批管理系统，建立工程建设项目审批信用信息平台，完善申请人信用记录，落实国家和山东省工程建设领域红黑名单制度，对失信企业和从业人员进行严格监管。将企业和从业人员违法违规、不履行承诺的失信行为纳入工程建设项目审批管理系统及全市信用信息共享平台，并与全国信用信息共享平台互联互通，加强信用信息共享，构建“一处失信、处处受限”的联合惩戒机制。</w:t>
            </w:r>
          </w:p>
        </w:tc>
        <w:tc>
          <w:tcPr>
            <w:tcW w:w="1878"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市住房城乡建设局、市发展改革委、人民银行聊城市中心支行、市市场监管局</w:t>
            </w:r>
          </w:p>
        </w:tc>
        <w:tc>
          <w:tcPr>
            <w:tcW w:w="2373"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932"/>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49</w:t>
            </w:r>
          </w:p>
        </w:tc>
        <w:tc>
          <w:tcPr>
            <w:tcW w:w="1576" w:type="dxa"/>
            <w:vMerge w:val="restart"/>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规范中介和市政公用服务</w:t>
            </w:r>
          </w:p>
        </w:tc>
        <w:tc>
          <w:tcPr>
            <w:tcW w:w="5064"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color w:val="000000"/>
                <w:sz w:val="18"/>
                <w:szCs w:val="18"/>
                <w:shd w:val="clear" w:color="auto" w:fill="FFFFFF"/>
              </w:rPr>
              <w:t>制定实施工程建设项目中介服务和市政公用服务管理制度，实行服务承诺制，明确服务标准、办事流程和办理时限，规范服务收费。推进中介服务提速增效。清理规范行政审批中介服务事项，健全行政审批中介服务体系。推进中介机构脱钩改制，开放中介服务市场，培育具有多种资质的综合性中介机构或中介机构联合体，构建开放、高效、有序的中介服务体系，进一步提升中介服务质量和效率。强化行业主管部门监管责任，加大对中介机构的监管力度。</w:t>
            </w:r>
          </w:p>
        </w:tc>
        <w:tc>
          <w:tcPr>
            <w:tcW w:w="1878"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市住房城乡建设局</w:t>
            </w:r>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市直有关部门，各县（市、区）人民政府、市属开发区管委会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r w:rsidR="00E6665E" w:rsidRPr="00E6665E" w:rsidTr="00CB313A">
        <w:trPr>
          <w:trHeight w:val="476"/>
          <w:jc w:val="center"/>
        </w:trPr>
        <w:tc>
          <w:tcPr>
            <w:tcW w:w="355" w:type="dxa"/>
            <w:vAlign w:val="center"/>
          </w:tcPr>
          <w:p w:rsidR="00E6665E" w:rsidRPr="00E6665E" w:rsidRDefault="00E6665E" w:rsidP="00E6665E">
            <w:pPr>
              <w:spacing w:line="280" w:lineRule="exact"/>
              <w:jc w:val="center"/>
              <w:rPr>
                <w:rFonts w:ascii="宋体" w:hAnsi="宋体" w:cs="黑体"/>
                <w:sz w:val="18"/>
                <w:szCs w:val="18"/>
              </w:rPr>
            </w:pPr>
            <w:r w:rsidRPr="00E6665E">
              <w:rPr>
                <w:rFonts w:ascii="宋体" w:hAnsi="宋体" w:cs="黑体"/>
                <w:sz w:val="18"/>
                <w:szCs w:val="18"/>
              </w:rPr>
              <w:t>50</w:t>
            </w:r>
          </w:p>
        </w:tc>
        <w:tc>
          <w:tcPr>
            <w:tcW w:w="1576" w:type="dxa"/>
            <w:vMerge/>
            <w:vAlign w:val="center"/>
          </w:tcPr>
          <w:p w:rsidR="00E6665E" w:rsidRPr="00E6665E" w:rsidRDefault="00E6665E" w:rsidP="00E6665E">
            <w:pPr>
              <w:spacing w:line="280" w:lineRule="exact"/>
              <w:rPr>
                <w:rFonts w:ascii="宋体" w:hAnsi="宋体" w:cs="黑体"/>
                <w:color w:val="000000"/>
                <w:sz w:val="18"/>
                <w:szCs w:val="18"/>
              </w:rPr>
            </w:pPr>
          </w:p>
        </w:tc>
        <w:tc>
          <w:tcPr>
            <w:tcW w:w="5064" w:type="dxa"/>
            <w:vAlign w:val="center"/>
          </w:tcPr>
          <w:p w:rsidR="00E6665E" w:rsidRPr="00E6665E" w:rsidRDefault="00E6665E" w:rsidP="00E6665E">
            <w:pPr>
              <w:spacing w:line="280" w:lineRule="exact"/>
              <w:rPr>
                <w:rFonts w:ascii="宋体" w:hAnsi="宋体" w:cs="黑体"/>
                <w:color w:val="000000"/>
                <w:sz w:val="18"/>
                <w:szCs w:val="18"/>
                <w:shd w:val="clear" w:color="auto" w:fill="FFFFFF"/>
              </w:rPr>
            </w:pPr>
            <w:r w:rsidRPr="00E6665E">
              <w:rPr>
                <w:rFonts w:ascii="宋体" w:hAnsi="宋体" w:cs="黑体"/>
                <w:color w:val="000000"/>
                <w:sz w:val="18"/>
                <w:szCs w:val="18"/>
                <w:shd w:val="clear" w:color="auto" w:fill="FFFFFF"/>
              </w:rPr>
              <w:t>供水、供电、燃气、热力、排水、通信等市政公用服务要全部入驻政务服务大厅，实施统一规范管理，为建设单位提供“一站式”服务，实施好水电气暖报装专项行动。</w:t>
            </w:r>
          </w:p>
        </w:tc>
        <w:tc>
          <w:tcPr>
            <w:tcW w:w="1878" w:type="dxa"/>
            <w:vAlign w:val="center"/>
          </w:tcPr>
          <w:p w:rsidR="00E6665E" w:rsidRPr="00E6665E" w:rsidRDefault="00E6665E" w:rsidP="00E6665E">
            <w:pPr>
              <w:spacing w:line="280" w:lineRule="exact"/>
              <w:rPr>
                <w:rFonts w:ascii="宋体" w:hAnsi="宋体" w:cs="黑体"/>
                <w:color w:val="000000"/>
                <w:sz w:val="18"/>
                <w:szCs w:val="18"/>
              </w:rPr>
            </w:pPr>
            <w:r w:rsidRPr="00E6665E">
              <w:rPr>
                <w:rFonts w:ascii="宋体" w:hAnsi="宋体" w:cs="黑体"/>
                <w:color w:val="000000"/>
                <w:sz w:val="18"/>
                <w:szCs w:val="18"/>
              </w:rPr>
              <w:t>市城管局</w:t>
            </w:r>
          </w:p>
        </w:tc>
        <w:tc>
          <w:tcPr>
            <w:tcW w:w="2373" w:type="dxa"/>
            <w:vAlign w:val="center"/>
          </w:tcPr>
          <w:p w:rsidR="00E6665E" w:rsidRPr="00E6665E" w:rsidRDefault="00E6665E" w:rsidP="00E6665E">
            <w:pPr>
              <w:spacing w:line="280" w:lineRule="exact"/>
              <w:rPr>
                <w:rFonts w:ascii="宋体" w:hAnsi="宋体" w:cs="黑体"/>
                <w:b/>
                <w:bCs/>
                <w:sz w:val="18"/>
                <w:szCs w:val="18"/>
              </w:rPr>
            </w:pPr>
            <w:r w:rsidRPr="00E6665E">
              <w:rPr>
                <w:rFonts w:ascii="宋体" w:hAnsi="宋体" w:cs="黑体"/>
                <w:sz w:val="18"/>
                <w:szCs w:val="18"/>
              </w:rPr>
              <w:t>市行政审批局，各县（市、区）人民政府、市属开发区管委会</w:t>
            </w:r>
          </w:p>
        </w:tc>
        <w:tc>
          <w:tcPr>
            <w:tcW w:w="1356" w:type="dxa"/>
            <w:vAlign w:val="center"/>
          </w:tcPr>
          <w:p w:rsidR="00E6665E" w:rsidRPr="00E6665E" w:rsidRDefault="00E6665E" w:rsidP="00E6665E">
            <w:pPr>
              <w:spacing w:line="280" w:lineRule="exact"/>
              <w:rPr>
                <w:rFonts w:ascii="宋体" w:hAnsi="宋体" w:cs="黑体"/>
                <w:sz w:val="18"/>
                <w:szCs w:val="18"/>
              </w:rPr>
            </w:pPr>
            <w:r w:rsidRPr="00E6665E">
              <w:rPr>
                <w:rFonts w:ascii="宋体" w:hAnsi="宋体" w:cs="黑体"/>
                <w:sz w:val="18"/>
                <w:szCs w:val="18"/>
              </w:rPr>
              <w:t>2019年8月底</w:t>
            </w:r>
          </w:p>
        </w:tc>
      </w:tr>
    </w:tbl>
    <w:p w:rsidR="00231AAA" w:rsidRDefault="00231AAA">
      <w:pPr>
        <w:rPr>
          <w:rFonts w:hint="eastAsia"/>
        </w:rPr>
      </w:pPr>
    </w:p>
    <w:sectPr w:rsidR="00231AAA" w:rsidSect="00E6665E">
      <w:footerReference w:type="default" r:id="rId4"/>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005" w:rsidRPr="002C638B" w:rsidRDefault="00E6665E" w:rsidP="002C638B">
    <w:pPr>
      <w:pStyle w:val="a3"/>
      <w:jc w:val="right"/>
      <w:rPr>
        <w:sz w:val="28"/>
        <w:szCs w:val="28"/>
      </w:rPr>
    </w:pPr>
    <w:r w:rsidRPr="002C638B">
      <w:rPr>
        <w:sz w:val="28"/>
        <w:szCs w:val="28"/>
      </w:rPr>
      <w:t>—</w:t>
    </w:r>
    <w:sdt>
      <w:sdtPr>
        <w:rPr>
          <w:sz w:val="28"/>
          <w:szCs w:val="28"/>
        </w:rPr>
        <w:id w:val="423179"/>
        <w:docPartObj>
          <w:docPartGallery w:val="Page Numbers (Bottom of Page)"/>
          <w:docPartUnique/>
        </w:docPartObj>
      </w:sdtPr>
      <w:sdtEndPr/>
      <w:sdtContent>
        <w:r w:rsidRPr="002C638B">
          <w:rPr>
            <w:sz w:val="28"/>
            <w:szCs w:val="28"/>
          </w:rPr>
          <w:t xml:space="preserve"> </w:t>
        </w:r>
        <w:r w:rsidRPr="002C638B">
          <w:rPr>
            <w:sz w:val="28"/>
            <w:szCs w:val="28"/>
          </w:rPr>
          <w:fldChar w:fldCharType="begin"/>
        </w:r>
        <w:r w:rsidRPr="002C638B">
          <w:rPr>
            <w:sz w:val="28"/>
            <w:szCs w:val="28"/>
          </w:rPr>
          <w:instrText xml:space="preserve"> PAGE   \* MERGEFORMAT </w:instrText>
        </w:r>
        <w:r w:rsidRPr="002C638B">
          <w:rPr>
            <w:sz w:val="28"/>
            <w:szCs w:val="28"/>
          </w:rPr>
          <w:fldChar w:fldCharType="separate"/>
        </w:r>
        <w:r w:rsidRPr="0089253B">
          <w:rPr>
            <w:noProof/>
            <w:sz w:val="28"/>
            <w:szCs w:val="28"/>
            <w:lang w:val="zh-CN"/>
          </w:rPr>
          <w:t>23</w:t>
        </w:r>
        <w:r w:rsidRPr="002C638B">
          <w:rPr>
            <w:sz w:val="28"/>
            <w:szCs w:val="28"/>
          </w:rPr>
          <w:fldChar w:fldCharType="end"/>
        </w:r>
        <w:r w:rsidRPr="002C638B">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6665E"/>
    <w:rsid w:val="00231AAA"/>
    <w:rsid w:val="00E6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C4AE1E0"/>
  <w15:chartTrackingRefBased/>
  <w15:docId w15:val="{D43B055E-1267-488B-9ED1-B31ECA27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6665E"/>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E6665E"/>
    <w:rPr>
      <w:sz w:val="18"/>
      <w:szCs w:val="18"/>
    </w:rPr>
  </w:style>
  <w:style w:type="table" w:styleId="a5">
    <w:name w:val="Table Grid"/>
    <w:basedOn w:val="a1"/>
    <w:rsid w:val="00E6665E"/>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1144</Words>
  <Characters>6524</Characters>
  <Application>Microsoft Office Word</Application>
  <DocSecurity>0</DocSecurity>
  <Lines>54</Lines>
  <Paragraphs>15</Paragraphs>
  <ScaleCrop>false</ScaleCrop>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1</cp:revision>
  <dcterms:created xsi:type="dcterms:W3CDTF">2020-06-03T07:26:00Z</dcterms:created>
  <dcterms:modified xsi:type="dcterms:W3CDTF">2020-06-03T07:29:00Z</dcterms:modified>
</cp:coreProperties>
</file>