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b w:val="0"/>
          <w:bCs w:val="0"/>
        </w:rPr>
      </w:pPr>
      <w:r>
        <w:rPr>
          <w:rFonts w:ascii="FZXBSK--GBK1-0" w:hAnsi="FZXBSK--GBK1-0" w:eastAsia="FZXBSK--GBK1-0" w:cs="FZXBSK--GBK1-0"/>
          <w:b w:val="0"/>
          <w:bCs w:val="0"/>
          <w:color w:val="000000"/>
          <w:kern w:val="0"/>
          <w:sz w:val="39"/>
          <w:szCs w:val="39"/>
          <w:lang w:val="en-US" w:eastAsia="zh-CN" w:bidi="ar"/>
        </w:rPr>
        <w:t>聊城市人民政府办公室</w:t>
      </w:r>
    </w:p>
    <w:p>
      <w:pPr>
        <w:keepNext w:val="0"/>
        <w:keepLines w:val="0"/>
        <w:widowControl/>
        <w:suppressLineNumbers w:val="0"/>
        <w:jc w:val="center"/>
        <w:rPr>
          <w:b w:val="0"/>
          <w:bCs w:val="0"/>
        </w:rPr>
      </w:pPr>
      <w:r>
        <w:rPr>
          <w:rFonts w:hint="default" w:ascii="FZXBSK--GBK1-0" w:hAnsi="FZXBSK--GBK1-0" w:eastAsia="FZXBSK--GBK1-0" w:cs="FZXBSK--GBK1-0"/>
          <w:b w:val="0"/>
          <w:bCs w:val="0"/>
          <w:color w:val="000000"/>
          <w:kern w:val="0"/>
          <w:sz w:val="39"/>
          <w:szCs w:val="39"/>
          <w:lang w:val="en-US" w:eastAsia="zh-CN" w:bidi="ar"/>
        </w:rPr>
        <w:t>关于印发聊城市市政基础设施和</w:t>
      </w:r>
    </w:p>
    <w:p>
      <w:pPr>
        <w:keepNext w:val="0"/>
        <w:keepLines w:val="0"/>
        <w:widowControl/>
        <w:suppressLineNumbers w:val="0"/>
        <w:jc w:val="center"/>
        <w:rPr>
          <w:rFonts w:hint="default" w:ascii="FZXBSK--GBK1-0" w:hAnsi="FZXBSK--GBK1-0" w:eastAsia="FZXBSK--GBK1-0" w:cs="FZXBSK--GBK1-0"/>
          <w:b w:val="0"/>
          <w:bCs w:val="0"/>
          <w:color w:val="000000"/>
          <w:kern w:val="0"/>
          <w:sz w:val="39"/>
          <w:szCs w:val="39"/>
          <w:lang w:val="en-US" w:eastAsia="zh-CN" w:bidi="ar"/>
        </w:rPr>
      </w:pPr>
      <w:r>
        <w:rPr>
          <w:rFonts w:hint="default" w:ascii="FZXBSK--GBK1-0" w:hAnsi="FZXBSK--GBK1-0" w:eastAsia="FZXBSK--GBK1-0" w:cs="FZXBSK--GBK1-0"/>
          <w:b w:val="0"/>
          <w:bCs w:val="0"/>
          <w:color w:val="000000"/>
          <w:kern w:val="0"/>
          <w:sz w:val="39"/>
          <w:szCs w:val="39"/>
          <w:lang w:val="en-US" w:eastAsia="zh-CN" w:bidi="ar"/>
        </w:rPr>
        <w:t>公用事业特许经营管理办法的通知</w:t>
      </w:r>
    </w:p>
    <w:p>
      <w:pPr>
        <w:keepNext w:val="0"/>
        <w:keepLines w:val="0"/>
        <w:widowControl/>
        <w:suppressLineNumbers w:val="0"/>
        <w:jc w:val="center"/>
        <w:rPr>
          <w:rFonts w:hint="default" w:ascii="FZXBSK--GBK1-0" w:hAnsi="FZXBSK--GBK1-0" w:eastAsia="FZXBSK--GBK1-0" w:cs="FZXBSK--GBK1-0"/>
          <w:b/>
          <w:bCs/>
          <w:color w:val="000000"/>
          <w:kern w:val="0"/>
          <w:sz w:val="39"/>
          <w:szCs w:val="39"/>
          <w:lang w:val="en-US" w:eastAsia="zh-CN" w:bidi="ar"/>
        </w:rPr>
      </w:pPr>
    </w:p>
    <w:p>
      <w:pPr>
        <w:keepNext w:val="0"/>
        <w:keepLines w:val="0"/>
        <w:widowControl/>
        <w:suppressLineNumbers w:val="0"/>
        <w:jc w:val="lef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各县(市、区)人民政府,市属开发区管委会,市政府各部门、直属机构:</w:t>
      </w:r>
    </w:p>
    <w:p>
      <w:pPr>
        <w:keepNext w:val="0"/>
        <w:keepLines w:val="0"/>
        <w:widowControl/>
        <w:suppressLineNumbers w:val="0"/>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现将《聊城市市政基础设施和公用事业特许经营管理办法》印发给你们,请结合实际认真贯彻落实。</w:t>
      </w:r>
    </w:p>
    <w:p>
      <w:pPr>
        <w:keepNext w:val="0"/>
        <w:keepLines w:val="0"/>
        <w:widowControl/>
        <w:suppressLineNumbers w:val="0"/>
        <w:jc w:val="right"/>
        <w:rPr>
          <w:rFonts w:hint="eastAsia" w:ascii="仿宋" w:hAnsi="仿宋" w:eastAsia="仿宋" w:cs="仿宋"/>
          <w:b w:val="0"/>
          <w:bCs w:val="0"/>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 xml:space="preserve">聊城市人民政府办公室 </w:t>
      </w:r>
    </w:p>
    <w:p>
      <w:pPr>
        <w:keepNext w:val="0"/>
        <w:keepLines w:val="0"/>
        <w:widowControl/>
        <w:suppressLineNumbers w:val="0"/>
        <w:jc w:val="righ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2021年12月25日</w:t>
      </w:r>
    </w:p>
    <w:p>
      <w:pPr>
        <w:keepNext w:val="0"/>
        <w:keepLines w:val="0"/>
        <w:widowControl/>
        <w:suppressLineNumbers w:val="0"/>
        <w:jc w:val="lef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 xml:space="preserve">(此件公开发布)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pPr>
        <w:keepNext w:val="0"/>
        <w:keepLines w:val="0"/>
        <w:widowControl/>
        <w:suppressLineNumbers w:val="0"/>
        <w:jc w:val="both"/>
        <w:rPr>
          <w:rFonts w:ascii="FZXBSK--GBK1-0" w:hAnsi="FZXBSK--GBK1-0" w:eastAsia="FZXBSK--GBK1-0" w:cs="FZXBSK--GBK1-0"/>
          <w:b w:val="0"/>
          <w:bCs w:val="0"/>
          <w:color w:val="000000"/>
          <w:kern w:val="0"/>
          <w:sz w:val="39"/>
          <w:szCs w:val="39"/>
          <w:lang w:val="en-US" w:eastAsia="zh-CN" w:bidi="ar"/>
        </w:rPr>
      </w:pPr>
    </w:p>
    <w:p>
      <w:pPr>
        <w:keepNext w:val="0"/>
        <w:keepLines w:val="0"/>
        <w:widowControl/>
        <w:suppressLineNumbers w:val="0"/>
        <w:jc w:val="center"/>
        <w:rPr>
          <w:b w:val="0"/>
          <w:bCs w:val="0"/>
        </w:rPr>
      </w:pPr>
      <w:r>
        <w:rPr>
          <w:rFonts w:ascii="FZXBSK--GBK1-0" w:hAnsi="FZXBSK--GBK1-0" w:eastAsia="FZXBSK--GBK1-0" w:cs="FZXBSK--GBK1-0"/>
          <w:b w:val="0"/>
          <w:bCs w:val="0"/>
          <w:color w:val="000000"/>
          <w:kern w:val="0"/>
          <w:sz w:val="39"/>
          <w:szCs w:val="39"/>
          <w:lang w:val="en-US" w:eastAsia="zh-CN" w:bidi="ar"/>
        </w:rPr>
        <w:t>聊城市市政基础设施和公用事业特许经营</w:t>
      </w:r>
    </w:p>
    <w:p>
      <w:pPr>
        <w:keepNext w:val="0"/>
        <w:keepLines w:val="0"/>
        <w:widowControl/>
        <w:suppressLineNumbers w:val="0"/>
        <w:jc w:val="center"/>
        <w:rPr>
          <w:b w:val="0"/>
          <w:bCs w:val="0"/>
        </w:rPr>
      </w:pPr>
      <w:r>
        <w:rPr>
          <w:rFonts w:hint="default" w:ascii="FZXBSK--GBK1-0" w:hAnsi="FZXBSK--GBK1-0" w:eastAsia="FZXBSK--GBK1-0" w:cs="FZXBSK--GBK1-0"/>
          <w:b w:val="0"/>
          <w:bCs w:val="0"/>
          <w:color w:val="000000"/>
          <w:kern w:val="0"/>
          <w:sz w:val="39"/>
          <w:szCs w:val="39"/>
          <w:lang w:val="en-US" w:eastAsia="zh-CN" w:bidi="ar"/>
        </w:rPr>
        <w:t>管 理 办 法</w:t>
      </w:r>
    </w:p>
    <w:p>
      <w:pPr>
        <w:keepNext w:val="0"/>
        <w:keepLines w:val="0"/>
        <w:widowControl/>
        <w:suppressLineNumbers w:val="0"/>
        <w:jc w:val="left"/>
        <w:rPr>
          <w:rFonts w:hint="eastAsia" w:ascii="仿宋" w:hAnsi="仿宋" w:eastAsia="仿宋" w:cs="仿宋"/>
          <w:b w:val="0"/>
          <w:bCs w:val="0"/>
          <w:color w:val="000000"/>
          <w:kern w:val="0"/>
          <w:sz w:val="32"/>
          <w:szCs w:val="32"/>
          <w:lang w:val="en-US" w:eastAsia="zh-CN" w:bidi="ar"/>
        </w:rPr>
      </w:pPr>
    </w:p>
    <w:p>
      <w:pPr>
        <w:keepNext w:val="0"/>
        <w:keepLines w:val="0"/>
        <w:widowControl/>
        <w:numPr>
          <w:ilvl w:val="0"/>
          <w:numId w:val="1"/>
        </w:numPr>
        <w:suppressLineNumbers w:val="0"/>
        <w:jc w:val="center"/>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总 则</w:t>
      </w:r>
    </w:p>
    <w:p>
      <w:pPr>
        <w:keepNext w:val="0"/>
        <w:keepLines w:val="0"/>
        <w:widowControl/>
        <w:numPr>
          <w:numId w:val="0"/>
        </w:numPr>
        <w:suppressLineNumbers w:val="0"/>
        <w:jc w:val="both"/>
        <w:rPr>
          <w:rFonts w:hint="eastAsia" w:ascii="仿宋" w:hAnsi="仿宋" w:eastAsia="仿宋" w:cs="仿宋"/>
          <w:b/>
          <w:bCs/>
          <w:color w:val="000000"/>
          <w:kern w:val="0"/>
          <w:sz w:val="32"/>
          <w:szCs w:val="32"/>
          <w:lang w:val="en-US" w:eastAsia="zh-CN" w:bidi="ar"/>
        </w:rPr>
      </w:pPr>
    </w:p>
    <w:p>
      <w:pPr>
        <w:keepNext w:val="0"/>
        <w:keepLines w:val="0"/>
        <w:widowControl/>
        <w:suppressLineNumbers w:val="0"/>
        <w:ind w:firstLine="643" w:firstLineChars="200"/>
        <w:jc w:val="left"/>
        <w:rPr>
          <w:rFonts w:hint="eastAsia" w:ascii="仿宋" w:hAnsi="仿宋" w:eastAsia="仿宋" w:cs="仿宋"/>
          <w:b w:val="0"/>
          <w:bCs w:val="0"/>
          <w:sz w:val="32"/>
          <w:szCs w:val="32"/>
        </w:rPr>
      </w:pPr>
      <w:r>
        <w:rPr>
          <w:rFonts w:hint="eastAsia" w:ascii="仿宋" w:hAnsi="仿宋" w:eastAsia="仿宋" w:cs="仿宋"/>
          <w:b/>
          <w:bCs/>
          <w:color w:val="000000"/>
          <w:kern w:val="0"/>
          <w:sz w:val="32"/>
          <w:szCs w:val="32"/>
          <w:lang w:val="en-US" w:eastAsia="zh-CN" w:bidi="ar"/>
        </w:rPr>
        <w:t>第一条</w:t>
      </w:r>
      <w:r>
        <w:rPr>
          <w:rFonts w:hint="eastAsia" w:ascii="仿宋" w:hAnsi="仿宋" w:eastAsia="仿宋" w:cs="仿宋"/>
          <w:b w:val="0"/>
          <w:bCs w:val="0"/>
          <w:color w:val="000000"/>
          <w:kern w:val="0"/>
          <w:sz w:val="32"/>
          <w:szCs w:val="32"/>
          <w:lang w:val="en-US" w:eastAsia="zh-CN" w:bidi="ar"/>
        </w:rPr>
        <w:t xml:space="preserve"> 为了规范市政基础设施和公用事业领域的特许经营活动,保障社会公共利益和公共安全,保护特许经营者合法权益, 促进经济社会持续健康发展,根据《基础设施和公用事业特许经营管理办法》《市政公用事业特许经营管理办法》等规定,结合本市实际,制定本办法。 </w:t>
      </w:r>
    </w:p>
    <w:p>
      <w:pPr>
        <w:keepNext w:val="0"/>
        <w:keepLines w:val="0"/>
        <w:widowControl/>
        <w:suppressLineNumbers w:val="0"/>
        <w:ind w:firstLine="643" w:firstLineChars="200"/>
        <w:jc w:val="left"/>
        <w:rPr>
          <w:rFonts w:hint="eastAsia" w:ascii="仿宋" w:hAnsi="仿宋" w:eastAsia="仿宋" w:cs="仿宋"/>
          <w:b w:val="0"/>
          <w:bCs w:val="0"/>
          <w:sz w:val="32"/>
          <w:szCs w:val="32"/>
        </w:rPr>
      </w:pPr>
      <w:r>
        <w:rPr>
          <w:rFonts w:hint="eastAsia" w:ascii="仿宋" w:hAnsi="仿宋" w:eastAsia="仿宋" w:cs="仿宋"/>
          <w:b/>
          <w:bCs/>
          <w:color w:val="000000"/>
          <w:kern w:val="0"/>
          <w:sz w:val="32"/>
          <w:szCs w:val="32"/>
          <w:lang w:val="en-US" w:eastAsia="zh-CN" w:bidi="ar"/>
        </w:rPr>
        <w:t>第二条</w:t>
      </w:r>
      <w:r>
        <w:rPr>
          <w:rFonts w:hint="eastAsia" w:ascii="仿宋" w:hAnsi="仿宋" w:eastAsia="仿宋" w:cs="仿宋"/>
          <w:b w:val="0"/>
          <w:bCs w:val="0"/>
          <w:color w:val="000000"/>
          <w:kern w:val="0"/>
          <w:sz w:val="32"/>
          <w:szCs w:val="32"/>
          <w:lang w:val="en-US" w:eastAsia="zh-CN" w:bidi="ar"/>
        </w:rPr>
        <w:t xml:space="preserve"> 本市行政区域内市政基础设施和公用事业领域的特许经营活动适用本办法。 </w:t>
      </w:r>
    </w:p>
    <w:p>
      <w:pPr>
        <w:keepNext w:val="0"/>
        <w:keepLines w:val="0"/>
        <w:widowControl/>
        <w:suppressLineNumbers w:val="0"/>
        <w:ind w:firstLine="643" w:firstLineChars="200"/>
        <w:jc w:val="left"/>
        <w:rPr>
          <w:rFonts w:hint="eastAsia" w:ascii="仿宋" w:hAnsi="仿宋" w:eastAsia="仿宋" w:cs="仿宋"/>
          <w:b w:val="0"/>
          <w:bCs w:val="0"/>
          <w:sz w:val="32"/>
          <w:szCs w:val="32"/>
        </w:rPr>
      </w:pPr>
      <w:r>
        <w:rPr>
          <w:rFonts w:hint="eastAsia" w:ascii="仿宋" w:hAnsi="仿宋" w:eastAsia="仿宋" w:cs="仿宋"/>
          <w:b/>
          <w:bCs/>
          <w:color w:val="000000"/>
          <w:kern w:val="0"/>
          <w:sz w:val="32"/>
          <w:szCs w:val="32"/>
          <w:lang w:val="en-US" w:eastAsia="zh-CN" w:bidi="ar"/>
        </w:rPr>
        <w:t>第三条</w:t>
      </w:r>
      <w:r>
        <w:rPr>
          <w:rFonts w:hint="eastAsia" w:ascii="仿宋" w:hAnsi="仿宋" w:eastAsia="仿宋" w:cs="仿宋"/>
          <w:b w:val="0"/>
          <w:bCs w:val="0"/>
          <w:color w:val="000000"/>
          <w:kern w:val="0"/>
          <w:sz w:val="32"/>
          <w:szCs w:val="32"/>
          <w:lang w:val="en-US" w:eastAsia="zh-CN" w:bidi="ar"/>
        </w:rPr>
        <w:t xml:space="preserve"> 市政基础设施和公用事业特许经营应当坚持公开、公平、公正,以公共利益优先,保护各方信赖利益的原则。 </w:t>
      </w:r>
    </w:p>
    <w:p>
      <w:pPr>
        <w:keepNext w:val="0"/>
        <w:keepLines w:val="0"/>
        <w:widowControl/>
        <w:suppressLineNumbers w:val="0"/>
        <w:ind w:firstLine="643" w:firstLineChars="200"/>
        <w:jc w:val="left"/>
        <w:rPr>
          <w:rFonts w:hint="eastAsia" w:ascii="仿宋" w:hAnsi="仿宋" w:eastAsia="仿宋" w:cs="仿宋"/>
          <w:b w:val="0"/>
          <w:bCs w:val="0"/>
          <w:sz w:val="32"/>
          <w:szCs w:val="32"/>
        </w:rPr>
      </w:pPr>
      <w:r>
        <w:rPr>
          <w:rFonts w:hint="eastAsia" w:ascii="仿宋" w:hAnsi="仿宋" w:eastAsia="仿宋" w:cs="仿宋"/>
          <w:b/>
          <w:bCs/>
          <w:color w:val="000000"/>
          <w:kern w:val="0"/>
          <w:sz w:val="32"/>
          <w:szCs w:val="32"/>
          <w:lang w:val="en-US" w:eastAsia="zh-CN" w:bidi="ar"/>
        </w:rPr>
        <w:t>第四条</w:t>
      </w:r>
      <w:r>
        <w:rPr>
          <w:rFonts w:hint="eastAsia" w:ascii="仿宋" w:hAnsi="仿宋" w:eastAsia="仿宋" w:cs="仿宋"/>
          <w:b w:val="0"/>
          <w:bCs w:val="0"/>
          <w:color w:val="000000"/>
          <w:kern w:val="0"/>
          <w:sz w:val="32"/>
          <w:szCs w:val="32"/>
          <w:lang w:val="en-US" w:eastAsia="zh-CN" w:bidi="ar"/>
        </w:rPr>
        <w:t xml:space="preserve"> 市人民政府统一领导本市市政基础设施和公用事业特许经营管理工作。 </w:t>
      </w:r>
    </w:p>
    <w:p>
      <w:pPr>
        <w:keepNext w:val="0"/>
        <w:keepLines w:val="0"/>
        <w:widowControl/>
        <w:suppressLineNumbers w:val="0"/>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 xml:space="preserve">区人民政府在市人民政府的授权范围内实施本辖区内市政基础设施和公用事业特许经营管理工作。 </w:t>
      </w:r>
    </w:p>
    <w:p>
      <w:pPr>
        <w:keepNext w:val="0"/>
        <w:keepLines w:val="0"/>
        <w:widowControl/>
        <w:suppressLineNumbers w:val="0"/>
        <w:ind w:firstLine="640" w:firstLineChars="20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xml:space="preserve">县(市)人民政府负责本辖区内市政基础设施和公用事业特许经营管理工作。 </w:t>
      </w:r>
    </w:p>
    <w:p>
      <w:pPr>
        <w:keepNext w:val="0"/>
        <w:keepLines w:val="0"/>
        <w:widowControl/>
        <w:suppressLineNumbers w:val="0"/>
        <w:ind w:firstLine="643" w:firstLineChars="20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第五条</w:t>
      </w:r>
      <w:r>
        <w:rPr>
          <w:rFonts w:hint="eastAsia" w:ascii="仿宋" w:hAnsi="仿宋" w:eastAsia="仿宋" w:cs="仿宋"/>
          <w:b w:val="0"/>
          <w:bCs w:val="0"/>
          <w:color w:val="000000"/>
          <w:kern w:val="0"/>
          <w:sz w:val="32"/>
          <w:szCs w:val="32"/>
          <w:lang w:val="en-US" w:eastAsia="zh-CN" w:bidi="ar"/>
        </w:rPr>
        <w:t xml:space="preserve"> 城市管理主管部门负责市政基础设施、供水、供气、</w:t>
      </w:r>
      <w:r>
        <w:rPr>
          <w:rFonts w:hint="eastAsia" w:ascii="仿宋" w:hAnsi="仿宋" w:eastAsia="仿宋" w:cs="仿宋"/>
          <w:b w:val="0"/>
          <w:bCs w:val="0"/>
          <w:color w:val="000000"/>
          <w:kern w:val="0"/>
          <w:sz w:val="32"/>
          <w:szCs w:val="32"/>
          <w:lang w:val="en-US" w:eastAsia="zh-CN" w:bidi="ar"/>
        </w:rPr>
        <w:t>供暖、</w:t>
      </w:r>
      <w:r>
        <w:rPr>
          <w:rFonts w:hint="default" w:ascii="仿宋" w:hAnsi="仿宋" w:eastAsia="仿宋" w:cs="仿宋"/>
          <w:b w:val="0"/>
          <w:bCs w:val="0"/>
          <w:color w:val="000000"/>
          <w:kern w:val="0"/>
          <w:sz w:val="32"/>
          <w:szCs w:val="32"/>
          <w:lang w:val="en-US" w:eastAsia="zh-CN" w:bidi="ar"/>
        </w:rPr>
        <w:t>污水、污泥、环卫设施、垃圾处理等行业特许经营的组织实施和监督管理</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发展改革、财政、交通运输、司法行政、自然资源和规划、生态环境、应急管理、住建、审计、国资、地方金融监管、行政审批服务等有关部门根据职责分工,负责特许经营项目实施的相关工作</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numPr>
          <w:ilvl w:val="0"/>
          <w:numId w:val="2"/>
        </w:numPr>
        <w:suppressLineNumbers w:val="0"/>
        <w:ind w:left="-10" w:leftChars="0" w:firstLine="640" w:firstLineChars="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市、县(市、区)人民政府应当建立市政基础设施和公用事业特许经营部门协调机制,负责统筹有关政策措施,并组织协调特许经营项目实施和监督管理工作</w:t>
      </w:r>
      <w:r>
        <w:rPr>
          <w:rFonts w:hint="eastAsia" w:ascii="仿宋" w:hAnsi="仿宋" w:eastAsia="仿宋" w:cs="仿宋"/>
          <w:b w:val="0"/>
          <w:bCs w:val="0"/>
          <w:color w:val="000000"/>
          <w:kern w:val="0"/>
          <w:sz w:val="32"/>
          <w:szCs w:val="32"/>
          <w:lang w:val="en-US" w:eastAsia="zh-CN" w:bidi="ar"/>
        </w:rPr>
        <w:t>。</w:t>
      </w:r>
    </w:p>
    <w:p>
      <w:pPr>
        <w:keepNext w:val="0"/>
        <w:keepLines w:val="0"/>
        <w:widowControl/>
        <w:numPr>
          <w:numId w:val="0"/>
        </w:numPr>
        <w:suppressLineNumbers w:val="0"/>
        <w:jc w:val="left"/>
        <w:rPr>
          <w:rFonts w:hint="eastAsia"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numPr>
          <w:ilvl w:val="0"/>
          <w:numId w:val="1"/>
        </w:numPr>
        <w:suppressLineNumbers w:val="0"/>
        <w:ind w:left="0" w:leftChars="0" w:firstLine="0" w:firstLineChars="0"/>
        <w:jc w:val="center"/>
        <w:rPr>
          <w:rFonts w:hint="default" w:ascii="仿宋" w:hAnsi="仿宋" w:eastAsia="仿宋" w:cs="仿宋"/>
          <w:b/>
          <w:bCs/>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特许经营协议订立</w:t>
      </w:r>
    </w:p>
    <w:p>
      <w:pPr>
        <w:keepNext w:val="0"/>
        <w:keepLines w:val="0"/>
        <w:widowControl/>
        <w:numPr>
          <w:numId w:val="0"/>
        </w:numPr>
        <w:suppressLineNumbers w:val="0"/>
        <w:ind w:leftChars="0"/>
        <w:jc w:val="both"/>
        <w:rPr>
          <w:rFonts w:hint="eastAsia" w:ascii="仿宋" w:hAnsi="仿宋" w:eastAsia="仿宋" w:cs="仿宋"/>
          <w:b/>
          <w:bCs/>
          <w:color w:val="000000"/>
          <w:kern w:val="0"/>
          <w:sz w:val="32"/>
          <w:szCs w:val="32"/>
          <w:lang w:val="en-US" w:eastAsia="zh-CN" w:bidi="ar"/>
        </w:rPr>
      </w:pPr>
    </w:p>
    <w:p>
      <w:pPr>
        <w:keepNext w:val="0"/>
        <w:keepLines w:val="0"/>
        <w:widowControl/>
        <w:suppressLineNumbers w:val="0"/>
        <w:ind w:firstLine="643" w:firstLineChars="200"/>
        <w:jc w:val="left"/>
        <w:rPr>
          <w:rFonts w:hint="eastAsia"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第七条</w:t>
      </w:r>
      <w:r>
        <w:rPr>
          <w:rFonts w:hint="default" w:ascii="仿宋" w:hAnsi="仿宋" w:eastAsia="仿宋" w:cs="仿宋"/>
          <w:b w:val="0"/>
          <w:bCs w:val="0"/>
          <w:color w:val="000000"/>
          <w:kern w:val="0"/>
          <w:sz w:val="32"/>
          <w:szCs w:val="32"/>
          <w:lang w:val="en-US" w:eastAsia="zh-CN" w:bidi="ar"/>
        </w:rPr>
        <w:t xml:space="preserve"> 市、县(市、区)人民政府有关行业主管部门或政府授权部门(以下简称项目提出部门)可以根据经济社会发展需求,省、市有关提供公共产品和服务类企业市场主体所有制形式的规定,以及有关法人和其他组织提出的特许经营项目建议等,在本市实施特许经营的市政基础设施和公用事业范围内提出特许经营项目实施方案</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特许经营项目应当符合国民经济和社会发展总体规划、区域规划、环境保护规划、“三线一单”分区管控要求和安全生产规划、国土空间规划、中期财政规划等,并且建设运营标准和监管要求明确</w:t>
      </w:r>
      <w:r>
        <w:rPr>
          <w:rFonts w:hint="eastAsia" w:ascii="仿宋" w:hAnsi="仿宋" w:eastAsia="仿宋" w:cs="仿宋"/>
          <w:b w:val="0"/>
          <w:bCs w:val="0"/>
          <w:color w:val="000000"/>
          <w:kern w:val="0"/>
          <w:sz w:val="32"/>
          <w:szCs w:val="32"/>
          <w:lang w:val="en-US" w:eastAsia="zh-CN" w:bidi="ar"/>
        </w:rPr>
        <w:t>。</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项目提出部门应当保证特许经营项目的完整性和连续性</w:t>
      </w:r>
      <w:r>
        <w:rPr>
          <w:rFonts w:hint="eastAsia" w:ascii="仿宋" w:hAnsi="仿宋" w:eastAsia="仿宋" w:cs="仿宋"/>
          <w:b w:val="0"/>
          <w:bCs w:val="0"/>
          <w:color w:val="000000"/>
          <w:kern w:val="0"/>
          <w:sz w:val="32"/>
          <w:szCs w:val="32"/>
          <w:lang w:val="en-US" w:eastAsia="zh-CN" w:bidi="ar"/>
        </w:rPr>
        <w:t>。</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基础设施和公用事业特许经营期限应当根据行业特点、所提供公共产品或服务需求、项目生命周期、投资回收期等综合因素确定,原则上</w:t>
      </w:r>
      <w:r>
        <w:rPr>
          <w:rFonts w:hint="eastAsia" w:ascii="仿宋" w:hAnsi="仿宋" w:eastAsia="仿宋" w:cs="仿宋"/>
          <w:b w:val="0"/>
          <w:bCs w:val="0"/>
          <w:color w:val="000000"/>
          <w:kern w:val="0"/>
          <w:sz w:val="32"/>
          <w:szCs w:val="32"/>
          <w:lang w:val="en-US" w:eastAsia="zh-CN" w:bidi="ar"/>
        </w:rPr>
        <w:t>20</w:t>
      </w:r>
      <w:r>
        <w:rPr>
          <w:rFonts w:hint="default" w:ascii="仿宋" w:hAnsi="仿宋" w:eastAsia="仿宋" w:cs="仿宋"/>
          <w:b w:val="0"/>
          <w:bCs w:val="0"/>
          <w:color w:val="000000"/>
          <w:kern w:val="0"/>
          <w:sz w:val="32"/>
          <w:szCs w:val="32"/>
          <w:lang w:val="en-US" w:eastAsia="zh-CN" w:bidi="ar"/>
        </w:rPr>
        <w:t>年,最长不超过</w:t>
      </w:r>
      <w:r>
        <w:rPr>
          <w:rFonts w:hint="eastAsia" w:ascii="仿宋" w:hAnsi="仿宋" w:eastAsia="仿宋" w:cs="仿宋"/>
          <w:b w:val="0"/>
          <w:bCs w:val="0"/>
          <w:color w:val="000000"/>
          <w:kern w:val="0"/>
          <w:sz w:val="32"/>
          <w:szCs w:val="32"/>
          <w:lang w:val="en-US" w:eastAsia="zh-CN" w:bidi="ar"/>
        </w:rPr>
        <w:t>30</w:t>
      </w:r>
      <w:r>
        <w:rPr>
          <w:rFonts w:hint="default" w:ascii="仿宋" w:hAnsi="仿宋" w:eastAsia="仿宋" w:cs="仿宋"/>
          <w:b w:val="0"/>
          <w:bCs w:val="0"/>
          <w:color w:val="000000"/>
          <w:kern w:val="0"/>
          <w:sz w:val="32"/>
          <w:szCs w:val="32"/>
          <w:lang w:val="en-US" w:eastAsia="zh-CN" w:bidi="ar"/>
        </w:rPr>
        <w:t>年</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第八条</w:t>
      </w:r>
      <w:r>
        <w:rPr>
          <w:rFonts w:hint="default" w:ascii="仿宋" w:hAnsi="仿宋" w:eastAsia="仿宋" w:cs="仿宋"/>
          <w:b w:val="0"/>
          <w:bCs w:val="0"/>
          <w:color w:val="000000"/>
          <w:kern w:val="0"/>
          <w:sz w:val="32"/>
          <w:szCs w:val="32"/>
          <w:lang w:val="en-US" w:eastAsia="zh-CN" w:bidi="ar"/>
        </w:rPr>
        <w:t xml:space="preserve"> 特许经营项目实施方案应当包括以下内容: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(一)项目名称;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(二)项目实施机构;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(三)项目建设规模、投资总额、实施进度,以及提供公共产品或公共服务的标准等基本经济技术指标;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(四)投资回报、价格及其测算;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(五)可行性分析,即降低全生命周期成本和提高公共服务质量效率的分析估算等;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(六)特许经营协议框架草案及特许经营期限;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(七)特许经营者应当具备的条件及选择方式;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(八)政府承诺和保障;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(九)特许经营期限届满后资产处置方式;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(十)应当明确的其他事项</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第九条</w:t>
      </w:r>
      <w:r>
        <w:rPr>
          <w:rFonts w:hint="default" w:ascii="仿宋" w:hAnsi="仿宋" w:eastAsia="仿宋" w:cs="仿宋"/>
          <w:b w:val="0"/>
          <w:bCs w:val="0"/>
          <w:color w:val="000000"/>
          <w:kern w:val="0"/>
          <w:sz w:val="32"/>
          <w:szCs w:val="32"/>
          <w:lang w:val="en-US" w:eastAsia="zh-CN" w:bidi="ar"/>
        </w:rPr>
        <w:t xml:space="preserve"> 项目提出部门可以委托具有相应能力和经验的第三方机构,开展特许经营可行性评估,完善特许经营项目实施方案</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需要政府提供可行性缺口补助或者开展物有所值评估的,由项目提出部门会同财政部门组织开展相关工作,财政部门根据有关办法和财力状况提出意见</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第十条</w:t>
      </w:r>
      <w:r>
        <w:rPr>
          <w:rFonts w:hint="default" w:ascii="仿宋" w:hAnsi="仿宋" w:eastAsia="仿宋" w:cs="仿宋"/>
          <w:b w:val="0"/>
          <w:bCs w:val="0"/>
          <w:color w:val="000000"/>
          <w:kern w:val="0"/>
          <w:sz w:val="32"/>
          <w:szCs w:val="32"/>
          <w:lang w:val="en-US" w:eastAsia="zh-CN" w:bidi="ar"/>
        </w:rPr>
        <w:t xml:space="preserve"> 项目提出部门应当依托本级人民政府建立的部门协调机制,牵头会同发展改革、财政、国资、自然资源和规划、生态环境、行政审批服务等有关部门对特许经营项目实施方案进行审查</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经审查认为实施方案可行的,各部门根据职责分别出具书面审查意见</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项目提出部门应当综合各部门书面审查意见,报本级人民政府常务会议审定特许经营项目实施方案</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第十一条</w:t>
      </w:r>
      <w:r>
        <w:rPr>
          <w:rFonts w:hint="default" w:ascii="仿宋" w:hAnsi="仿宋" w:eastAsia="仿宋" w:cs="仿宋"/>
          <w:b w:val="0"/>
          <w:bCs w:val="0"/>
          <w:color w:val="000000"/>
          <w:kern w:val="0"/>
          <w:sz w:val="32"/>
          <w:szCs w:val="32"/>
          <w:lang w:val="en-US" w:eastAsia="zh-CN" w:bidi="ar"/>
        </w:rPr>
        <w:t xml:space="preserve"> 审定特许经营项目实施方案的市、县(市、区)人民政府应当授权有关行业主管部门负责特许经营项目有关实施工作,并明确具体授权范围</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第十二条</w:t>
      </w:r>
      <w:r>
        <w:rPr>
          <w:rFonts w:hint="default" w:ascii="仿宋" w:hAnsi="仿宋" w:eastAsia="仿宋" w:cs="仿宋"/>
          <w:b w:val="0"/>
          <w:bCs w:val="0"/>
          <w:color w:val="000000"/>
          <w:kern w:val="0"/>
          <w:sz w:val="32"/>
          <w:szCs w:val="32"/>
          <w:lang w:val="en-US" w:eastAsia="zh-CN" w:bidi="ar"/>
        </w:rPr>
        <w:t xml:space="preserve"> 行业主管部门应当根据经审定的特许经营项目实施方案,通过招标、竞争性谈判等公平竞争方式择优选择特许经营者</w:t>
      </w:r>
      <w:r>
        <w:rPr>
          <w:rFonts w:hint="eastAsia" w:ascii="仿宋" w:hAnsi="仿宋" w:eastAsia="仿宋" w:cs="仿宋"/>
          <w:b w:val="0"/>
          <w:bCs w:val="0"/>
          <w:color w:val="000000"/>
          <w:kern w:val="0"/>
          <w:sz w:val="32"/>
          <w:szCs w:val="32"/>
          <w:lang w:val="en-US" w:eastAsia="zh-CN" w:bidi="ar"/>
        </w:rPr>
        <w:t>。</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特许经营项目建设运营标准和监管要求明确、有关领域市场竞争比较充分的,应当通过招标方式选择特许经营者</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法律法规规章对特许经营者的选择另有规定的,从其规定</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特许经营涉及建设项目,按照国家有关规定需要履行项目审批、核准手续的依法必须进行招标的,其招标范围、招标方式、招标组织形式应当报行政审批服务部门核准</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拟选定的特许经营者,应当向社会公示</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numPr>
          <w:ilvl w:val="0"/>
          <w:numId w:val="3"/>
        </w:numPr>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行业主管部门应当与依法选定的特许经营者签订特许经营协议</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需要成立项目公司的,行业主管部门应当与依法选定的投资人签订初步协议,约定其在规定期限内注册成立项目公司,并与项目公司签订特许经营协议</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特许经营协议主要包括以下内容: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(一)项目名称、内容;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(二)特许经营方式、区域、范围和期限;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(三)项目公司的经营范围、注册资本、股东出资方式、出资比例、股权转让等;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(四)所提供产品或者服务的数量、质量和标准;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(五)设施权属,以及相应的维护和更新改造;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(六)监测评估;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(七)投融资期限和方式;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(八)收益取得方式,价格和收费标准的确定方法以及调整程序;</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(九)履约担保;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(十)特许经营期内的风险分担;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(十一)政府承诺和保障;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(十二)应急预案和临时接管预案;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(十三)特许经营期限届满后,项目及资产移交方式、程序和要求等;</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(十四)变更、提前终止及补偿;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(十五)违约责任;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(十六)争议解决方式;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(十七)需要明确的其他事项</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第十四条</w:t>
      </w:r>
      <w:r>
        <w:rPr>
          <w:rFonts w:hint="default" w:ascii="仿宋" w:hAnsi="仿宋" w:eastAsia="仿宋" w:cs="仿宋"/>
          <w:b w:val="0"/>
          <w:bCs w:val="0"/>
          <w:color w:val="000000"/>
          <w:kern w:val="0"/>
          <w:sz w:val="32"/>
          <w:szCs w:val="32"/>
          <w:lang w:val="en-US" w:eastAsia="zh-CN" w:bidi="ar"/>
        </w:rPr>
        <w:t xml:space="preserve"> 特许经营协议根据相关法律法规规章和国家有关规定,可以约定特许经营者通过向用户收费等方式取得收益</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向用户收费不足以覆盖特许经营建设、运营成本及合理收益的,可由政府提供可行性缺口补助,包括政府授予特许经营项目相关的其它开发经营权益</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第十五条</w:t>
      </w:r>
      <w:r>
        <w:rPr>
          <w:rFonts w:hint="eastAsia" w:ascii="仿宋" w:hAnsi="仿宋" w:eastAsia="仿宋" w:cs="仿宋"/>
          <w:b w:val="0"/>
          <w:bCs w:val="0"/>
          <w:color w:val="000000"/>
          <w:kern w:val="0"/>
          <w:sz w:val="32"/>
          <w:szCs w:val="32"/>
          <w:lang w:val="en-US" w:eastAsia="zh-CN" w:bidi="ar"/>
        </w:rPr>
        <w:t xml:space="preserve"> </w:t>
      </w:r>
      <w:r>
        <w:rPr>
          <w:rFonts w:hint="default" w:ascii="仿宋" w:hAnsi="仿宋" w:eastAsia="仿宋" w:cs="仿宋"/>
          <w:b w:val="0"/>
          <w:bCs w:val="0"/>
          <w:color w:val="000000"/>
          <w:kern w:val="0"/>
          <w:sz w:val="32"/>
          <w:szCs w:val="32"/>
          <w:lang w:val="en-US" w:eastAsia="zh-CN" w:bidi="ar"/>
        </w:rPr>
        <w:t>特许经营协议内容不得与招标文件和特许经营实施方案的内容相抵触</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市、县(市、区)人民政府可以在特许经营协议中就防止不必要的同类竞争性项目建设、必要合理的财政补贴、有关配套公共服务和基础设施的提供等内容作出承诺,但不得承诺固定投资回报和其他法律法规禁止的事项</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numPr>
          <w:numId w:val="0"/>
        </w:numPr>
        <w:suppressLineNumbers w:val="0"/>
        <w:ind w:leftChars="200"/>
        <w:jc w:val="left"/>
        <w:rPr>
          <w:rFonts w:hint="default" w:ascii="仿宋" w:hAnsi="仿宋" w:eastAsia="仿宋" w:cs="仿宋"/>
          <w:b w:val="0"/>
          <w:bCs w:val="0"/>
          <w:color w:val="000000"/>
          <w:kern w:val="0"/>
          <w:sz w:val="32"/>
          <w:szCs w:val="32"/>
          <w:lang w:val="en-US" w:eastAsia="zh-CN" w:bidi="ar"/>
        </w:rPr>
      </w:pPr>
    </w:p>
    <w:p>
      <w:pPr>
        <w:keepNext w:val="0"/>
        <w:keepLines w:val="0"/>
        <w:widowControl/>
        <w:numPr>
          <w:ilvl w:val="0"/>
          <w:numId w:val="1"/>
        </w:numPr>
        <w:suppressLineNumbers w:val="0"/>
        <w:ind w:left="0" w:leftChars="0" w:firstLine="0" w:firstLineChars="0"/>
        <w:jc w:val="center"/>
        <w:rPr>
          <w:rFonts w:hint="default" w:ascii="仿宋" w:hAnsi="仿宋" w:eastAsia="仿宋" w:cs="仿宋"/>
          <w:b/>
          <w:bCs/>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特许经营协议履行</w:t>
      </w:r>
    </w:p>
    <w:p>
      <w:pPr>
        <w:keepNext w:val="0"/>
        <w:keepLines w:val="0"/>
        <w:widowControl/>
        <w:numPr>
          <w:numId w:val="0"/>
        </w:numPr>
        <w:suppressLineNumbers w:val="0"/>
        <w:ind w:leftChars="0"/>
        <w:jc w:val="both"/>
        <w:rPr>
          <w:rFonts w:hint="default" w:ascii="仿宋" w:hAnsi="仿宋" w:eastAsia="仿宋" w:cs="仿宋"/>
          <w:b/>
          <w:bCs/>
          <w:color w:val="000000"/>
          <w:kern w:val="0"/>
          <w:sz w:val="32"/>
          <w:szCs w:val="32"/>
          <w:lang w:val="en-US" w:eastAsia="zh-CN" w:bidi="ar"/>
        </w:rPr>
      </w:pP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第十六条</w:t>
      </w:r>
      <w:r>
        <w:rPr>
          <w:rFonts w:hint="default" w:ascii="仿宋" w:hAnsi="仿宋" w:eastAsia="仿宋" w:cs="仿宋"/>
          <w:b w:val="0"/>
          <w:bCs w:val="0"/>
          <w:color w:val="000000"/>
          <w:kern w:val="0"/>
          <w:sz w:val="32"/>
          <w:szCs w:val="32"/>
          <w:lang w:val="en-US" w:eastAsia="zh-CN" w:bidi="ar"/>
        </w:rPr>
        <w:t xml:space="preserve"> 特许经营协议各方当事人应当遵循诚实信用原则,按照约定全面履行义务</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除法律法规另有规定外,任何一方不履行特许经营协议约定义务或者履行义务不符合约定要求的,应当根据协议继续履行、采取补救措施或者赔偿损失</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第十七条</w:t>
      </w:r>
      <w:r>
        <w:rPr>
          <w:rFonts w:hint="default" w:ascii="仿宋" w:hAnsi="仿宋" w:eastAsia="仿宋" w:cs="仿宋"/>
          <w:b w:val="0"/>
          <w:bCs w:val="0"/>
          <w:color w:val="000000"/>
          <w:kern w:val="0"/>
          <w:sz w:val="32"/>
          <w:szCs w:val="32"/>
          <w:lang w:val="en-US" w:eastAsia="zh-CN" w:bidi="ar"/>
        </w:rPr>
        <w:t xml:space="preserve"> 任何单位或者个人不得违反法律法规规章规定,干涉特许经营者合法经营活动</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第十八条</w:t>
      </w:r>
      <w:r>
        <w:rPr>
          <w:rFonts w:hint="default" w:ascii="仿宋" w:hAnsi="仿宋" w:eastAsia="仿宋" w:cs="仿宋"/>
          <w:b w:val="0"/>
          <w:bCs w:val="0"/>
          <w:color w:val="000000"/>
          <w:kern w:val="0"/>
          <w:sz w:val="32"/>
          <w:szCs w:val="32"/>
          <w:lang w:val="en-US" w:eastAsia="zh-CN" w:bidi="ar"/>
        </w:rPr>
        <w:t xml:space="preserve"> 特许经营者应当在特许经营期间内履行下列义务:</w:t>
      </w:r>
    </w:p>
    <w:p>
      <w:pPr>
        <w:keepNext w:val="0"/>
        <w:keepLines w:val="0"/>
        <w:widowControl/>
        <w:suppressLineNumbers w:val="0"/>
        <w:ind w:firstLine="640" w:firstLineChars="200"/>
        <w:jc w:val="left"/>
      </w:pPr>
      <w:r>
        <w:rPr>
          <w:rFonts w:hint="default" w:ascii="仿宋" w:hAnsi="仿宋" w:eastAsia="仿宋" w:cs="仿宋"/>
          <w:b w:val="0"/>
          <w:bCs w:val="0"/>
          <w:color w:val="000000"/>
          <w:kern w:val="0"/>
          <w:sz w:val="32"/>
          <w:szCs w:val="32"/>
          <w:lang w:val="en-US" w:eastAsia="zh-CN" w:bidi="ar"/>
        </w:rPr>
        <w:t>(一)根据特许经营协议,执行有关特许经营项目投融资安排,确保相应资金或资金来源落实;</w:t>
      </w:r>
      <w:r>
        <w:rPr>
          <w:rFonts w:hint="default" w:ascii="E-BX" w:hAnsi="E-BX" w:eastAsia="E-BX" w:cs="E-BX"/>
          <w:b/>
          <w:bCs/>
          <w:color w:val="000000"/>
          <w:kern w:val="0"/>
          <w:sz w:val="29"/>
          <w:szCs w:val="29"/>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(二)根据有关法律法规、标准规范和特许经营协议,提供优质、持续、高效、安全的公共产品或者公共服务;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(三)特许经营项目涉及新建或改扩建有关市政基础设施和公用事业的,应当符合国土空间规划、环境保护、质量管理、安全生产等有关法律法规规定的建设条件和建设标准,并依法办理有关手续;</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 xml:space="preserve">(四)按照技术规范,定期对特许经营项目设施进行检修和保养,保证设施运转正常及经营期限届满后资产按规定进行移交;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(五)法律法规规章规定或特许经营协议约定的其他义务</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第十九条</w:t>
      </w:r>
      <w:r>
        <w:rPr>
          <w:rFonts w:hint="default" w:ascii="仿宋" w:hAnsi="仿宋" w:eastAsia="仿宋" w:cs="仿宋"/>
          <w:b w:val="0"/>
          <w:bCs w:val="0"/>
          <w:color w:val="000000"/>
          <w:kern w:val="0"/>
          <w:sz w:val="32"/>
          <w:szCs w:val="32"/>
          <w:lang w:val="en-US" w:eastAsia="zh-CN" w:bidi="ar"/>
        </w:rPr>
        <w:t xml:space="preserve"> 特许经营者对涉及国家安全的事项负有保密义务,并应当建立和落实相应保密管理制度</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行业主管部门、有关部门及其工作人员对知悉的特许经营者商业秘密负有保密义务</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第二十条</w:t>
      </w:r>
      <w:r>
        <w:rPr>
          <w:rFonts w:hint="default" w:ascii="仿宋" w:hAnsi="仿宋" w:eastAsia="仿宋" w:cs="仿宋"/>
          <w:b w:val="0"/>
          <w:bCs w:val="0"/>
          <w:color w:val="000000"/>
          <w:kern w:val="0"/>
          <w:sz w:val="32"/>
          <w:szCs w:val="32"/>
          <w:lang w:val="en-US" w:eastAsia="zh-CN" w:bidi="ar"/>
        </w:rPr>
        <w:t xml:space="preserve"> 行业主管部门和特许经营者应当对特许经营项目建设、运营、维修、保养过程中的有关资料,按照有关规定进行归档保存</w:t>
      </w:r>
      <w:r>
        <w:rPr>
          <w:rFonts w:hint="eastAsia" w:ascii="仿宋" w:hAnsi="仿宋" w:eastAsia="仿宋" w:cs="仿宋"/>
          <w:b w:val="0"/>
          <w:bCs w:val="0"/>
          <w:color w:val="000000"/>
          <w:kern w:val="0"/>
          <w:sz w:val="32"/>
          <w:szCs w:val="32"/>
          <w:lang w:val="en-US" w:eastAsia="zh-CN" w:bidi="ar"/>
        </w:rPr>
        <w:t>。</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第二十一条</w:t>
      </w:r>
      <w:r>
        <w:rPr>
          <w:rFonts w:hint="default" w:ascii="仿宋" w:hAnsi="仿宋" w:eastAsia="仿宋" w:cs="仿宋"/>
          <w:b w:val="0"/>
          <w:bCs w:val="0"/>
          <w:color w:val="000000"/>
          <w:kern w:val="0"/>
          <w:sz w:val="32"/>
          <w:szCs w:val="32"/>
          <w:lang w:val="en-US" w:eastAsia="zh-CN" w:bidi="ar"/>
        </w:rPr>
        <w:t xml:space="preserve"> 行业主管部门应当按照特许经营协议严格履行有关义务,为特许经营者建设运营特许经营项目提供便利和支持,提高公共服务水平</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行政区划调整,政府换届、部门调整和负责人变更,不得影响特许经营协议履行</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第二十二条</w:t>
      </w:r>
      <w:r>
        <w:rPr>
          <w:rFonts w:hint="default" w:ascii="仿宋" w:hAnsi="仿宋" w:eastAsia="仿宋" w:cs="仿宋"/>
          <w:b w:val="0"/>
          <w:bCs w:val="0"/>
          <w:color w:val="000000"/>
          <w:kern w:val="0"/>
          <w:sz w:val="32"/>
          <w:szCs w:val="32"/>
          <w:lang w:val="en-US" w:eastAsia="zh-CN" w:bidi="ar"/>
        </w:rPr>
        <w:t xml:space="preserve"> 特许经营协议应当明确价格或收费的确定和调整机制</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特许经营项目价格或收费应当依据相关法律法规规定和特许经营协议约定予以确定和调整</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特许经营项目实行政府定价或者政府指导价的,价格主管部门及行业主管部门应当按照相关法律法规规章规定实施成本监审或者成本调查</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第二十三条</w:t>
      </w:r>
      <w:r>
        <w:rPr>
          <w:rFonts w:hint="default" w:ascii="仿宋" w:hAnsi="仿宋" w:eastAsia="仿宋" w:cs="仿宋"/>
          <w:b w:val="0"/>
          <w:bCs w:val="0"/>
          <w:color w:val="000000"/>
          <w:kern w:val="0"/>
          <w:sz w:val="32"/>
          <w:szCs w:val="32"/>
          <w:lang w:val="en-US" w:eastAsia="zh-CN" w:bidi="ar"/>
        </w:rPr>
        <w:t xml:space="preserve"> 核定定价成本,应当遵循合法性、相关性、合理性的原则</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具体核定原则和方法,按照相关法律法规规章规定执行</w:t>
      </w:r>
      <w:r>
        <w:rPr>
          <w:rFonts w:hint="eastAsia" w:ascii="仿宋" w:hAnsi="仿宋" w:eastAsia="仿宋" w:cs="仿宋"/>
          <w:b w:val="0"/>
          <w:bCs w:val="0"/>
          <w:color w:val="000000"/>
          <w:kern w:val="0"/>
          <w:sz w:val="32"/>
          <w:szCs w:val="32"/>
          <w:lang w:val="en-US" w:eastAsia="zh-CN" w:bidi="ar"/>
        </w:rPr>
        <w:t>。</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特许经营者应当如实反映情况,提供必需的审计报告、账簿、文件以及其他资料</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第二十四条</w:t>
      </w:r>
      <w:r>
        <w:rPr>
          <w:rFonts w:hint="default" w:ascii="仿宋" w:hAnsi="仿宋" w:eastAsia="仿宋" w:cs="仿宋"/>
          <w:b w:val="0"/>
          <w:bCs w:val="0"/>
          <w:color w:val="000000"/>
          <w:kern w:val="0"/>
          <w:sz w:val="32"/>
          <w:szCs w:val="32"/>
          <w:lang w:val="en-US" w:eastAsia="zh-CN" w:bidi="ar"/>
        </w:rPr>
        <w:t xml:space="preserve"> 需要政府提供可行性缺口补助的特许经营项目,应当严格按照</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中华人民共和国预算法</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的规定,综合考虑政府财政承受能力和债务风险状况,合理确定财政付费总额和分年度数额,并与政府年度预算和中期财政规划相衔接,确保资金拨付需要</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第二十五条</w:t>
      </w:r>
      <w:r>
        <w:rPr>
          <w:rFonts w:hint="default" w:ascii="仿宋" w:hAnsi="仿宋" w:eastAsia="仿宋" w:cs="仿宋"/>
          <w:b w:val="0"/>
          <w:bCs w:val="0"/>
          <w:color w:val="000000"/>
          <w:kern w:val="0"/>
          <w:sz w:val="32"/>
          <w:szCs w:val="32"/>
          <w:lang w:val="en-US" w:eastAsia="zh-CN" w:bidi="ar"/>
        </w:rPr>
        <w:t xml:space="preserve"> 因法律法规修改或者政策调整损害特许经营者预期利益,或者根据公共利益需要要求特许经营者提供协议约定以外的产品或服务的,应当给予特许经营者相应补偿</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第二十六条</w:t>
      </w:r>
      <w:r>
        <w:rPr>
          <w:rFonts w:hint="default" w:ascii="仿宋" w:hAnsi="仿宋" w:eastAsia="仿宋" w:cs="仿宋"/>
          <w:b w:val="0"/>
          <w:bCs w:val="0"/>
          <w:color w:val="000000"/>
          <w:kern w:val="0"/>
          <w:sz w:val="32"/>
          <w:szCs w:val="32"/>
          <w:lang w:val="en-US" w:eastAsia="zh-CN" w:bidi="ar"/>
        </w:rPr>
        <w:t xml:space="preserve"> 在特许经营协议有效期内,协议内容确需变更的,协议当事人应当在协商一致基础上签订补充协议</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协议可能对特许经营项目的存续债务产生重大影响的,应当事先征求债权人同意</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特许经营项目涉及直接融资行为的,应当及时做好相关信息披露</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特许经营期限届满后确有必要延长的,按照有关规定经充分评估论证,协商一致并报本级人民政府批准后,可以延长</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第二十七条</w:t>
      </w:r>
      <w:r>
        <w:rPr>
          <w:rFonts w:hint="default" w:ascii="仿宋" w:hAnsi="仿宋" w:eastAsia="仿宋" w:cs="仿宋"/>
          <w:b w:val="0"/>
          <w:bCs w:val="0"/>
          <w:color w:val="000000"/>
          <w:kern w:val="0"/>
          <w:sz w:val="32"/>
          <w:szCs w:val="32"/>
          <w:lang w:val="en-US" w:eastAsia="zh-CN" w:bidi="ar"/>
        </w:rPr>
        <w:t xml:space="preserve"> 在特许经营期限内,因特许经营协议一方严重违约或不可抗力等原因,导致特许经营者无法继续履行协议约定义务,或者出现特许经营协议约定的提前终止协议情形的,在与债权人协商一致后,可以提前终止协议</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特许经营协议提前终止的,市、县(市、区)人民政府应当收回特许经营项目</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有严重违约行为的一方应当根据实际情况和协议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约定承担相应的违约责任,给予对方相应补偿</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第二十八条</w:t>
      </w:r>
      <w:r>
        <w:rPr>
          <w:rFonts w:hint="default" w:ascii="仿宋" w:hAnsi="仿宋" w:eastAsia="仿宋" w:cs="仿宋"/>
          <w:b w:val="0"/>
          <w:bCs w:val="0"/>
          <w:color w:val="000000"/>
          <w:kern w:val="0"/>
          <w:sz w:val="32"/>
          <w:szCs w:val="32"/>
          <w:lang w:val="en-US" w:eastAsia="zh-CN" w:bidi="ar"/>
        </w:rPr>
        <w:t xml:space="preserve"> 特许经营期限届满终止或提前终止的,协议当事人应当按照特许经营协议约定,以及有关法律法规规章规定,办理有关设施、资料、档案等的性能测试、评估、移交、接管、验收等手续</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第二十九条</w:t>
      </w:r>
      <w:r>
        <w:rPr>
          <w:rFonts w:hint="default" w:ascii="仿宋" w:hAnsi="仿宋" w:eastAsia="仿宋" w:cs="仿宋"/>
          <w:b w:val="0"/>
          <w:bCs w:val="0"/>
          <w:color w:val="000000"/>
          <w:kern w:val="0"/>
          <w:sz w:val="32"/>
          <w:szCs w:val="32"/>
          <w:lang w:val="en-US" w:eastAsia="zh-CN" w:bidi="ar"/>
        </w:rPr>
        <w:t xml:space="preserve"> 特许经营期限届满终止或者提前终止,对该市政基础设施和公用事业继续采用特许经营方式的,行业主管部门应当依法重新选择特许经营者</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因特许经营期限届满重新选择特许经营者的,在同等条件下,原特许经营者优先获得特许经营权</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新的特许经营者选定之前,行业主管部门和原特许经营者应当根据制定的预案,保障公共产品或公共服务的持续稳定提供</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p>
    <w:p>
      <w:pPr>
        <w:keepNext w:val="0"/>
        <w:keepLines w:val="0"/>
        <w:widowControl/>
        <w:numPr>
          <w:ilvl w:val="0"/>
          <w:numId w:val="1"/>
        </w:numPr>
        <w:suppressLineNumbers w:val="0"/>
        <w:ind w:left="0" w:leftChars="0" w:firstLine="0" w:firstLineChars="0"/>
        <w:jc w:val="center"/>
        <w:rPr>
          <w:rFonts w:hint="default" w:ascii="仿宋" w:hAnsi="仿宋" w:eastAsia="仿宋" w:cs="仿宋"/>
          <w:b/>
          <w:bCs/>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监督管理和公共利益保障</w:t>
      </w:r>
    </w:p>
    <w:p>
      <w:pPr>
        <w:keepNext w:val="0"/>
        <w:keepLines w:val="0"/>
        <w:widowControl/>
        <w:numPr>
          <w:numId w:val="0"/>
        </w:numPr>
        <w:suppressLineNumbers w:val="0"/>
        <w:ind w:leftChars="0"/>
        <w:jc w:val="both"/>
        <w:rPr>
          <w:rFonts w:hint="default" w:ascii="仿宋" w:hAnsi="仿宋" w:eastAsia="仿宋" w:cs="仿宋"/>
          <w:b/>
          <w:bCs/>
          <w:color w:val="000000"/>
          <w:kern w:val="0"/>
          <w:sz w:val="32"/>
          <w:szCs w:val="32"/>
          <w:lang w:val="en-US" w:eastAsia="zh-CN" w:bidi="ar"/>
        </w:rPr>
      </w:pP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第三十条</w:t>
      </w:r>
      <w:r>
        <w:rPr>
          <w:rFonts w:hint="default" w:ascii="仿宋" w:hAnsi="仿宋" w:eastAsia="仿宋" w:cs="仿宋"/>
          <w:b w:val="0"/>
          <w:bCs w:val="0"/>
          <w:color w:val="000000"/>
          <w:kern w:val="0"/>
          <w:sz w:val="32"/>
          <w:szCs w:val="32"/>
          <w:lang w:val="en-US" w:eastAsia="zh-CN" w:bidi="ar"/>
        </w:rPr>
        <w:t xml:space="preserve"> 市、县(市、区)人民政府有关部门应当根据各自职责,对特许经营者执行法律法规规章、行业标准、产品或服务技术规范,以及其他有关监管要求进行监督管理,并依法加强成本监督审查</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审计部门应当依法对特许经营活动进行审计</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第三十一条</w:t>
      </w:r>
      <w:r>
        <w:rPr>
          <w:rFonts w:hint="default" w:ascii="仿宋" w:hAnsi="仿宋" w:eastAsia="仿宋" w:cs="仿宋"/>
          <w:b w:val="0"/>
          <w:bCs w:val="0"/>
          <w:color w:val="000000"/>
          <w:kern w:val="0"/>
          <w:sz w:val="32"/>
          <w:szCs w:val="32"/>
          <w:lang w:val="en-US" w:eastAsia="zh-CN" w:bidi="ar"/>
        </w:rPr>
        <w:t xml:space="preserve"> 行业主管部门应当根据特许经营协议,每年对特许经营项目建设运营情况进行监测分析,会同有关部门实施绩效评价,并建立根据绩效评价结果和特许经营协议约定对价格或财政补贴进行调整的机制,保障所提供公共产品或公共服务的质量和效率</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行业主管部门应当将社会公众意见作为监测分析和绩效评价的重要内容</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第三十二条</w:t>
      </w:r>
      <w:r>
        <w:rPr>
          <w:rFonts w:hint="default" w:ascii="仿宋" w:hAnsi="仿宋" w:eastAsia="仿宋" w:cs="仿宋"/>
          <w:b w:val="0"/>
          <w:bCs w:val="0"/>
          <w:color w:val="000000"/>
          <w:kern w:val="0"/>
          <w:sz w:val="32"/>
          <w:szCs w:val="32"/>
          <w:lang w:val="en-US" w:eastAsia="zh-CN" w:bidi="ar"/>
        </w:rPr>
        <w:t xml:space="preserve"> 在项目运营过程中,行业主管部门应当组织专家对特许经营者的经营情况进行中期评估</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评估结果应当向本级人民政府报告</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评估周期一般不得低于二年,特殊情况下可以实施年度评估</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第三十三条</w:t>
      </w:r>
      <w:r>
        <w:rPr>
          <w:rFonts w:hint="default" w:ascii="仿宋" w:hAnsi="仿宋" w:eastAsia="仿宋" w:cs="仿宋"/>
          <w:b w:val="0"/>
          <w:bCs w:val="0"/>
          <w:color w:val="000000"/>
          <w:kern w:val="0"/>
          <w:sz w:val="32"/>
          <w:szCs w:val="32"/>
          <w:lang w:val="en-US" w:eastAsia="zh-CN" w:bidi="ar"/>
        </w:rPr>
        <w:t xml:space="preserve"> 社会公众有权对特许经营活动进行监督,向有关监管部门投诉,或者向行业主管部门和特许经营者提出意见建议</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行业主管部门应当及时对投诉、意见建议进行核查、处理并反馈</w:t>
      </w:r>
      <w:r>
        <w:rPr>
          <w:rFonts w:hint="eastAsia" w:ascii="仿宋" w:hAnsi="仿宋" w:eastAsia="仿宋" w:cs="仿宋"/>
          <w:b w:val="0"/>
          <w:bCs w:val="0"/>
          <w:color w:val="000000"/>
          <w:kern w:val="0"/>
          <w:sz w:val="32"/>
          <w:szCs w:val="32"/>
          <w:lang w:val="en-US" w:eastAsia="zh-CN" w:bidi="ar"/>
        </w:rPr>
        <w:t>。</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第三十四条</w:t>
      </w:r>
      <w:r>
        <w:rPr>
          <w:rFonts w:hint="default" w:ascii="仿宋" w:hAnsi="仿宋" w:eastAsia="仿宋" w:cs="仿宋"/>
          <w:b w:val="0"/>
          <w:bCs w:val="0"/>
          <w:color w:val="000000"/>
          <w:kern w:val="0"/>
          <w:sz w:val="32"/>
          <w:szCs w:val="32"/>
          <w:lang w:val="en-US" w:eastAsia="zh-CN" w:bidi="ar"/>
        </w:rPr>
        <w:t xml:space="preserve"> 市、县(市、区)人民政府应当依照国家规定将特许经营有关政策措施、特许经营部门协调机制组成以及职责等信息向社会公开</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val="0"/>
          <w:bCs w:val="0"/>
          <w:color w:val="000000"/>
          <w:kern w:val="0"/>
          <w:sz w:val="32"/>
          <w:szCs w:val="32"/>
          <w:lang w:val="en-US" w:eastAsia="zh-CN" w:bidi="ar"/>
        </w:rPr>
        <w:t>行业主管部门和特许经营者应当将特许经营项目实施方案、实施主体、特许经营者选择、特许经营协议及其变更或终止、协议资金规模、分年财政资金安排、协议期限、项目建设运营、所提供公共服务标准、监测分析和绩效评价、经过审计的上年度财务报表等有关信息按规定向社会公开</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特许经营者应当公开有关会计数据、财务核算和其他有关财务指标,并依法接受年度财务审计</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第三十五条</w:t>
      </w:r>
      <w:r>
        <w:rPr>
          <w:rFonts w:hint="default" w:ascii="仿宋" w:hAnsi="仿宋" w:eastAsia="仿宋" w:cs="仿宋"/>
          <w:b w:val="0"/>
          <w:bCs w:val="0"/>
          <w:color w:val="000000"/>
          <w:kern w:val="0"/>
          <w:sz w:val="32"/>
          <w:szCs w:val="32"/>
          <w:lang w:val="en-US" w:eastAsia="zh-CN" w:bidi="ar"/>
        </w:rPr>
        <w:t xml:space="preserve"> 特许经营者应当对特许经营协议约定服务区域内所有用户普遍地、无歧视地提供公共产品或公共服务,不得对新增用户实行差别待遇</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第三十六条</w:t>
      </w:r>
      <w:r>
        <w:rPr>
          <w:rFonts w:hint="default" w:ascii="仿宋" w:hAnsi="仿宋" w:eastAsia="仿宋" w:cs="仿宋"/>
          <w:b w:val="0"/>
          <w:bCs w:val="0"/>
          <w:color w:val="000000"/>
          <w:kern w:val="0"/>
          <w:sz w:val="32"/>
          <w:szCs w:val="32"/>
          <w:lang w:val="en-US" w:eastAsia="zh-CN" w:bidi="ar"/>
        </w:rPr>
        <w:t xml:space="preserve"> 行业主管部门和特许经营者应当制定突发事件应急预案,依照有关规定报送相关部门</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突发事件发生后,及时启动应急预案,保障公共产品或公共服务的正常提供</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第三十七条</w:t>
      </w:r>
      <w:r>
        <w:rPr>
          <w:rFonts w:hint="default" w:ascii="仿宋" w:hAnsi="仿宋" w:eastAsia="仿宋" w:cs="仿宋"/>
          <w:b w:val="0"/>
          <w:bCs w:val="0"/>
          <w:color w:val="000000"/>
          <w:kern w:val="0"/>
          <w:sz w:val="32"/>
          <w:szCs w:val="32"/>
          <w:lang w:val="en-US" w:eastAsia="zh-CN" w:bidi="ar"/>
        </w:rPr>
        <w:t xml:space="preserve"> 因不可抗力等原因,特许经营者确无能力继续履行特许经营协议的,行业主管部门应当采取措施,保证持续稳定提供公共产品或公共服务</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第三十八条</w:t>
      </w:r>
      <w:r>
        <w:rPr>
          <w:rFonts w:hint="default" w:ascii="仿宋" w:hAnsi="仿宋" w:eastAsia="仿宋" w:cs="仿宋"/>
          <w:b w:val="0"/>
          <w:bCs w:val="0"/>
          <w:color w:val="000000"/>
          <w:kern w:val="0"/>
          <w:sz w:val="32"/>
          <w:szCs w:val="32"/>
          <w:lang w:val="en-US" w:eastAsia="zh-CN" w:bidi="ar"/>
        </w:rPr>
        <w:t xml:space="preserve"> 市、县(市、区)人民政府有关部门应当依据法律法规规定,对特许经营者及其从业人员不良行为建立信用记录,纳入全国统一的信用信息共享交换平台,对严重违法失信行为依法向社会公示</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jc w:val="left"/>
        <w:rPr>
          <w:rFonts w:hint="default" w:ascii="仿宋" w:hAnsi="仿宋" w:eastAsia="仿宋" w:cs="仿宋"/>
          <w:b w:val="0"/>
          <w:bCs w:val="0"/>
          <w:color w:val="000000"/>
          <w:kern w:val="0"/>
          <w:sz w:val="32"/>
          <w:szCs w:val="32"/>
          <w:lang w:val="en-US" w:eastAsia="zh-CN" w:bidi="ar"/>
        </w:rPr>
      </w:pPr>
    </w:p>
    <w:p>
      <w:pPr>
        <w:keepNext w:val="0"/>
        <w:keepLines w:val="0"/>
        <w:widowControl/>
        <w:numPr>
          <w:ilvl w:val="0"/>
          <w:numId w:val="1"/>
        </w:numPr>
        <w:suppressLineNumbers w:val="0"/>
        <w:ind w:left="0" w:leftChars="0" w:firstLine="0" w:firstLineChars="0"/>
        <w:jc w:val="center"/>
        <w:rPr>
          <w:rFonts w:hint="default" w:ascii="仿宋" w:hAnsi="仿宋" w:eastAsia="仿宋" w:cs="仿宋"/>
          <w:b/>
          <w:bCs/>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法律责任</w:t>
      </w:r>
    </w:p>
    <w:p>
      <w:pPr>
        <w:keepNext w:val="0"/>
        <w:keepLines w:val="0"/>
        <w:widowControl/>
        <w:numPr>
          <w:numId w:val="0"/>
        </w:numPr>
        <w:suppressLineNumbers w:val="0"/>
        <w:ind w:leftChars="0"/>
        <w:jc w:val="both"/>
        <w:rPr>
          <w:rFonts w:hint="default" w:ascii="仿宋" w:hAnsi="仿宋" w:eastAsia="仿宋" w:cs="仿宋"/>
          <w:b/>
          <w:bCs/>
          <w:color w:val="000000"/>
          <w:kern w:val="0"/>
          <w:sz w:val="32"/>
          <w:szCs w:val="32"/>
          <w:lang w:val="en-US" w:eastAsia="zh-CN" w:bidi="ar"/>
        </w:rPr>
      </w:pP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第三十九条</w:t>
      </w:r>
      <w:r>
        <w:rPr>
          <w:rFonts w:hint="default" w:ascii="仿宋" w:hAnsi="仿宋" w:eastAsia="仿宋" w:cs="仿宋"/>
          <w:b w:val="0"/>
          <w:bCs w:val="0"/>
          <w:color w:val="000000"/>
          <w:kern w:val="0"/>
          <w:sz w:val="32"/>
          <w:szCs w:val="32"/>
          <w:lang w:val="en-US" w:eastAsia="zh-CN" w:bidi="ar"/>
        </w:rPr>
        <w:t xml:space="preserve"> 违反本办法规定的行为,法律法规规章已经规定法律责任的,适用其规定</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第四十条</w:t>
      </w:r>
      <w:r>
        <w:rPr>
          <w:rFonts w:hint="default" w:ascii="仿宋" w:hAnsi="仿宋" w:eastAsia="仿宋" w:cs="仿宋"/>
          <w:b w:val="0"/>
          <w:bCs w:val="0"/>
          <w:color w:val="000000"/>
          <w:kern w:val="0"/>
          <w:sz w:val="32"/>
          <w:szCs w:val="32"/>
          <w:lang w:val="en-US" w:eastAsia="zh-CN" w:bidi="ar"/>
        </w:rPr>
        <w:t xml:space="preserve"> 以欺骗、贿赂等不正当手段取得特许经营项目的,应当依法收回特许经营项目,并向社会公开</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第四十一条</w:t>
      </w:r>
      <w:r>
        <w:rPr>
          <w:rFonts w:hint="default" w:ascii="仿宋" w:hAnsi="仿宋" w:eastAsia="仿宋" w:cs="仿宋"/>
          <w:b w:val="0"/>
          <w:bCs w:val="0"/>
          <w:color w:val="000000"/>
          <w:kern w:val="0"/>
          <w:sz w:val="32"/>
          <w:szCs w:val="32"/>
          <w:lang w:val="en-US" w:eastAsia="zh-CN" w:bidi="ar"/>
        </w:rPr>
        <w:t xml:space="preserve"> 特许经营者违反法律法规和国家强制性标准,严重危害公共利益,或者造成重大质量、安全事故以及突发环境事件的,有关部门应当依法责令限期改正,并依法予以行政处罚;拒不改正、情节严重的,可以终止特许经营协议;构成犯罪的,依法追究刑事责任</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第四十二条</w:t>
      </w:r>
      <w:r>
        <w:rPr>
          <w:rFonts w:hint="default" w:ascii="仿宋" w:hAnsi="仿宋" w:eastAsia="仿宋" w:cs="仿宋"/>
          <w:b w:val="0"/>
          <w:bCs w:val="0"/>
          <w:color w:val="000000"/>
          <w:kern w:val="0"/>
          <w:sz w:val="32"/>
          <w:szCs w:val="32"/>
          <w:lang w:val="en-US" w:eastAsia="zh-CN" w:bidi="ar"/>
        </w:rPr>
        <w:t xml:space="preserve"> 行业主管部门、有关行政主管部门及其工作人员不履行法定职责、干预特许经营者正常经营活动、徇私舞弊、滥用职权、玩忽职守的,依法给予处分;构成犯罪的,移交司法机关,依法追究刑事责任</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b w:val="0"/>
          <w:bCs w:val="0"/>
          <w:color w:val="000000"/>
          <w:kern w:val="0"/>
          <w:sz w:val="32"/>
          <w:szCs w:val="32"/>
          <w:lang w:val="en-US" w:eastAsia="zh-CN" w:bidi="ar"/>
        </w:rPr>
      </w:pPr>
    </w:p>
    <w:p>
      <w:pPr>
        <w:keepNext w:val="0"/>
        <w:keepLines w:val="0"/>
        <w:widowControl/>
        <w:numPr>
          <w:ilvl w:val="0"/>
          <w:numId w:val="1"/>
        </w:numPr>
        <w:suppressLineNumbers w:val="0"/>
        <w:ind w:left="0" w:leftChars="0" w:firstLine="0" w:firstLineChars="0"/>
        <w:jc w:val="center"/>
        <w:rPr>
          <w:rFonts w:hint="default" w:ascii="仿宋" w:hAnsi="仿宋" w:eastAsia="仿宋" w:cs="仿宋"/>
          <w:b/>
          <w:bCs/>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附 则</w:t>
      </w:r>
    </w:p>
    <w:p>
      <w:pPr>
        <w:keepNext w:val="0"/>
        <w:keepLines w:val="0"/>
        <w:widowControl/>
        <w:numPr>
          <w:numId w:val="0"/>
        </w:numPr>
        <w:suppressLineNumbers w:val="0"/>
        <w:ind w:leftChars="0"/>
        <w:jc w:val="both"/>
        <w:rPr>
          <w:rFonts w:hint="default" w:ascii="仿宋" w:hAnsi="仿宋" w:eastAsia="仿宋" w:cs="仿宋"/>
          <w:b/>
          <w:bCs/>
          <w:color w:val="000000"/>
          <w:kern w:val="0"/>
          <w:sz w:val="32"/>
          <w:szCs w:val="32"/>
          <w:lang w:val="en-US" w:eastAsia="zh-CN" w:bidi="ar"/>
        </w:rPr>
      </w:pPr>
    </w:p>
    <w:p>
      <w:pPr>
        <w:keepNext w:val="0"/>
        <w:keepLines w:val="0"/>
        <w:widowControl/>
        <w:suppressLineNumbers w:val="0"/>
        <w:ind w:firstLine="643" w:firstLineChars="200"/>
        <w:jc w:val="left"/>
        <w:rPr>
          <w:rFonts w:hint="default" w:ascii="仿宋" w:hAnsi="仿宋" w:eastAsia="仿宋" w:cs="仿宋"/>
          <w:b w:val="0"/>
          <w:bCs w:val="0"/>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第四十三条</w:t>
      </w:r>
      <w:r>
        <w:rPr>
          <w:rFonts w:hint="default" w:ascii="仿宋" w:hAnsi="仿宋" w:eastAsia="仿宋" w:cs="仿宋"/>
          <w:b w:val="0"/>
          <w:bCs w:val="0"/>
          <w:color w:val="000000"/>
          <w:kern w:val="0"/>
          <w:sz w:val="32"/>
          <w:szCs w:val="32"/>
          <w:lang w:val="en-US" w:eastAsia="zh-CN" w:bidi="ar"/>
        </w:rPr>
        <w:t xml:space="preserve"> 法律法规规章对市政基础设施和公用事业</w:t>
      </w:r>
      <w:bookmarkStart w:id="0" w:name="_GoBack"/>
      <w:bookmarkEnd w:id="0"/>
      <w:r>
        <w:rPr>
          <w:rFonts w:hint="default" w:ascii="仿宋" w:hAnsi="仿宋" w:eastAsia="仿宋" w:cs="仿宋"/>
          <w:b w:val="0"/>
          <w:bCs w:val="0"/>
          <w:color w:val="000000"/>
          <w:kern w:val="0"/>
          <w:sz w:val="32"/>
          <w:szCs w:val="32"/>
          <w:lang w:val="en-US" w:eastAsia="zh-CN" w:bidi="ar"/>
        </w:rPr>
        <w:t>特许经营另有规定的,从其规定</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p>
      <w:pPr>
        <w:keepNext w:val="0"/>
        <w:keepLines w:val="0"/>
        <w:widowControl/>
        <w:suppressLineNumbers w:val="0"/>
        <w:ind w:firstLine="643" w:firstLineChars="200"/>
        <w:jc w:val="left"/>
        <w:rPr>
          <w:rFonts w:hint="eastAsia" w:ascii="仿宋" w:hAnsi="仿宋" w:eastAsia="仿宋" w:cs="仿宋"/>
          <w:sz w:val="32"/>
          <w:szCs w:val="32"/>
        </w:rPr>
      </w:pPr>
      <w:r>
        <w:rPr>
          <w:rFonts w:hint="default" w:ascii="仿宋" w:hAnsi="仿宋" w:eastAsia="仿宋" w:cs="仿宋"/>
          <w:b/>
          <w:bCs/>
          <w:color w:val="000000"/>
          <w:kern w:val="0"/>
          <w:sz w:val="32"/>
          <w:szCs w:val="32"/>
          <w:lang w:val="en-US" w:eastAsia="zh-CN" w:bidi="ar"/>
        </w:rPr>
        <w:t>第四十四条</w:t>
      </w:r>
      <w:r>
        <w:rPr>
          <w:rFonts w:hint="default" w:ascii="仿宋" w:hAnsi="仿宋" w:eastAsia="仿宋" w:cs="仿宋"/>
          <w:b w:val="0"/>
          <w:bCs w:val="0"/>
          <w:color w:val="000000"/>
          <w:kern w:val="0"/>
          <w:sz w:val="32"/>
          <w:szCs w:val="32"/>
          <w:lang w:val="en-US" w:eastAsia="zh-CN" w:bidi="ar"/>
        </w:rPr>
        <w:t xml:space="preserve"> 本办法自</w:t>
      </w:r>
      <w:r>
        <w:rPr>
          <w:rFonts w:hint="eastAsia" w:ascii="仿宋" w:hAnsi="仿宋" w:eastAsia="仿宋" w:cs="仿宋"/>
          <w:b w:val="0"/>
          <w:bCs w:val="0"/>
          <w:color w:val="000000"/>
          <w:kern w:val="0"/>
          <w:sz w:val="32"/>
          <w:szCs w:val="32"/>
          <w:lang w:val="en-US" w:eastAsia="zh-CN" w:bidi="ar"/>
        </w:rPr>
        <w:t>2022</w:t>
      </w:r>
      <w:r>
        <w:rPr>
          <w:rFonts w:hint="default" w:ascii="仿宋" w:hAnsi="仿宋" w:eastAsia="仿宋" w:cs="仿宋"/>
          <w:b w:val="0"/>
          <w:bCs w:val="0"/>
          <w:color w:val="000000"/>
          <w:kern w:val="0"/>
          <w:sz w:val="32"/>
          <w:szCs w:val="32"/>
          <w:lang w:val="en-US" w:eastAsia="zh-CN" w:bidi="ar"/>
        </w:rPr>
        <w:t>年</w:t>
      </w:r>
      <w:r>
        <w:rPr>
          <w:rFonts w:hint="eastAsia" w:ascii="仿宋" w:hAnsi="仿宋" w:eastAsia="仿宋" w:cs="仿宋"/>
          <w:b w:val="0"/>
          <w:bCs w:val="0"/>
          <w:color w:val="000000"/>
          <w:kern w:val="0"/>
          <w:sz w:val="32"/>
          <w:szCs w:val="32"/>
          <w:lang w:val="en-US" w:eastAsia="zh-CN" w:bidi="ar"/>
        </w:rPr>
        <w:t>2</w:t>
      </w:r>
      <w:r>
        <w:rPr>
          <w:rFonts w:hint="default" w:ascii="仿宋" w:hAnsi="仿宋" w:eastAsia="仿宋" w:cs="仿宋"/>
          <w:b w:val="0"/>
          <w:bCs w:val="0"/>
          <w:color w:val="000000"/>
          <w:kern w:val="0"/>
          <w:sz w:val="32"/>
          <w:szCs w:val="32"/>
          <w:lang w:val="en-US" w:eastAsia="zh-CN" w:bidi="ar"/>
        </w:rPr>
        <w:t>月</w:t>
      </w:r>
      <w:r>
        <w:rPr>
          <w:rFonts w:hint="eastAsia" w:ascii="仿宋" w:hAnsi="仿宋" w:eastAsia="仿宋" w:cs="仿宋"/>
          <w:b w:val="0"/>
          <w:bCs w:val="0"/>
          <w:color w:val="000000"/>
          <w:kern w:val="0"/>
          <w:sz w:val="32"/>
          <w:szCs w:val="32"/>
          <w:lang w:val="en-US" w:eastAsia="zh-CN" w:bidi="ar"/>
        </w:rPr>
        <w:t>1</w:t>
      </w:r>
      <w:r>
        <w:rPr>
          <w:rFonts w:hint="default" w:ascii="仿宋" w:hAnsi="仿宋" w:eastAsia="仿宋" w:cs="仿宋"/>
          <w:b w:val="0"/>
          <w:bCs w:val="0"/>
          <w:color w:val="000000"/>
          <w:kern w:val="0"/>
          <w:sz w:val="32"/>
          <w:szCs w:val="32"/>
          <w:lang w:val="en-US" w:eastAsia="zh-CN" w:bidi="ar"/>
        </w:rPr>
        <w:t>日起施行,有效期至</w:t>
      </w:r>
      <w:r>
        <w:rPr>
          <w:rFonts w:hint="eastAsia" w:ascii="仿宋" w:hAnsi="仿宋" w:eastAsia="仿宋" w:cs="仿宋"/>
          <w:b w:val="0"/>
          <w:bCs w:val="0"/>
          <w:color w:val="000000"/>
          <w:kern w:val="0"/>
          <w:sz w:val="32"/>
          <w:szCs w:val="32"/>
          <w:lang w:val="en-US" w:eastAsia="zh-CN" w:bidi="ar"/>
        </w:rPr>
        <w:t>2021</w:t>
      </w:r>
      <w:r>
        <w:rPr>
          <w:rFonts w:hint="default" w:ascii="仿宋" w:hAnsi="仿宋" w:eastAsia="仿宋" w:cs="仿宋"/>
          <w:b w:val="0"/>
          <w:bCs w:val="0"/>
          <w:color w:val="000000"/>
          <w:kern w:val="0"/>
          <w:sz w:val="32"/>
          <w:szCs w:val="32"/>
          <w:lang w:val="en-US" w:eastAsia="zh-CN" w:bidi="ar"/>
        </w:rPr>
        <w:t>年</w:t>
      </w:r>
      <w:r>
        <w:rPr>
          <w:rFonts w:hint="eastAsia" w:ascii="仿宋" w:hAnsi="仿宋" w:eastAsia="仿宋" w:cs="仿宋"/>
          <w:b w:val="0"/>
          <w:bCs w:val="0"/>
          <w:color w:val="000000"/>
          <w:kern w:val="0"/>
          <w:sz w:val="32"/>
          <w:szCs w:val="32"/>
          <w:lang w:val="en-US" w:eastAsia="zh-CN" w:bidi="ar"/>
        </w:rPr>
        <w:t>1</w:t>
      </w:r>
      <w:r>
        <w:rPr>
          <w:rFonts w:hint="default" w:ascii="仿宋" w:hAnsi="仿宋" w:eastAsia="仿宋" w:cs="仿宋"/>
          <w:b w:val="0"/>
          <w:bCs w:val="0"/>
          <w:color w:val="000000"/>
          <w:kern w:val="0"/>
          <w:sz w:val="32"/>
          <w:szCs w:val="32"/>
          <w:lang w:val="en-US" w:eastAsia="zh-CN" w:bidi="ar"/>
        </w:rPr>
        <w:t>月</w:t>
      </w:r>
      <w:r>
        <w:rPr>
          <w:rFonts w:hint="eastAsia" w:ascii="仿宋" w:hAnsi="仿宋" w:eastAsia="仿宋" w:cs="仿宋"/>
          <w:b w:val="0"/>
          <w:bCs w:val="0"/>
          <w:color w:val="000000"/>
          <w:kern w:val="0"/>
          <w:sz w:val="32"/>
          <w:szCs w:val="32"/>
          <w:lang w:val="en-US" w:eastAsia="zh-CN" w:bidi="ar"/>
        </w:rPr>
        <w:t>31</w:t>
      </w:r>
      <w:r>
        <w:rPr>
          <w:rFonts w:hint="default" w:ascii="仿宋" w:hAnsi="仿宋" w:eastAsia="仿宋" w:cs="仿宋"/>
          <w:b w:val="0"/>
          <w:bCs w:val="0"/>
          <w:color w:val="000000"/>
          <w:kern w:val="0"/>
          <w:sz w:val="32"/>
          <w:szCs w:val="32"/>
          <w:lang w:val="en-US" w:eastAsia="zh-CN" w:bidi="ar"/>
        </w:rPr>
        <w:t>日</w:t>
      </w:r>
      <w:r>
        <w:rPr>
          <w:rFonts w:hint="eastAsia" w:ascii="仿宋" w:hAnsi="仿宋" w:eastAsia="仿宋" w:cs="仿宋"/>
          <w:b w:val="0"/>
          <w:bCs w:val="0"/>
          <w:color w:val="000000"/>
          <w:kern w:val="0"/>
          <w:sz w:val="32"/>
          <w:szCs w:val="32"/>
          <w:lang w:val="en-US" w:eastAsia="zh-CN" w:bidi="ar"/>
        </w:rPr>
        <w:t>。</w:t>
      </w:r>
      <w:r>
        <w:rPr>
          <w:rFonts w:hint="default" w:ascii="仿宋" w:hAnsi="仿宋" w:eastAsia="仿宋" w:cs="仿宋"/>
          <w:b w:val="0"/>
          <w:bCs w:val="0"/>
          <w:color w:val="000000"/>
          <w:kern w:val="0"/>
          <w:sz w:val="32"/>
          <w:szCs w:val="32"/>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iaoBiaoSong-B05">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FZXBSK--GBK1-0">
    <w:altName w:val="Segoe Print"/>
    <w:panose1 w:val="00000000000000000000"/>
    <w:charset w:val="00"/>
    <w:family w:val="auto"/>
    <w:pitch w:val="default"/>
    <w:sig w:usb0="00000000" w:usb1="00000000" w:usb2="00000000" w:usb3="00000000" w:csb0="00000000" w:csb1="00000000"/>
  </w:font>
  <w:font w:name="FZFSK--GBK1-0">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1BCF5"/>
    <w:multiLevelType w:val="singleLevel"/>
    <w:tmpl w:val="DA91BCF5"/>
    <w:lvl w:ilvl="0" w:tentative="0">
      <w:start w:val="1"/>
      <w:numFmt w:val="chineseCounting"/>
      <w:suff w:val="space"/>
      <w:lvlText w:val="第%1章"/>
      <w:lvlJc w:val="left"/>
      <w:rPr>
        <w:rFonts w:hint="eastAsia"/>
      </w:rPr>
    </w:lvl>
  </w:abstractNum>
  <w:abstractNum w:abstractNumId="1">
    <w:nsid w:val="DFCB9B7B"/>
    <w:multiLevelType w:val="singleLevel"/>
    <w:tmpl w:val="DFCB9B7B"/>
    <w:lvl w:ilvl="0" w:tentative="0">
      <w:start w:val="6"/>
      <w:numFmt w:val="chineseCounting"/>
      <w:suff w:val="space"/>
      <w:lvlText w:val="第%1条"/>
      <w:lvlJc w:val="left"/>
      <w:pPr>
        <w:ind w:left="-10"/>
      </w:pPr>
      <w:rPr>
        <w:rFonts w:hint="eastAsia"/>
        <w:b/>
        <w:bCs/>
      </w:rPr>
    </w:lvl>
  </w:abstractNum>
  <w:abstractNum w:abstractNumId="2">
    <w:nsid w:val="39F6AAC3"/>
    <w:multiLevelType w:val="singleLevel"/>
    <w:tmpl w:val="39F6AAC3"/>
    <w:lvl w:ilvl="0" w:tentative="0">
      <w:start w:val="13"/>
      <w:numFmt w:val="chineseCounting"/>
      <w:suff w:val="space"/>
      <w:lvlText w:val="第%1条"/>
      <w:lvlJc w:val="left"/>
      <w:rPr>
        <w:rFonts w:hint="eastAsia"/>
        <w:b/>
        <w:bC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A0501"/>
    <w:rsid w:val="1EDF22CE"/>
    <w:rsid w:val="3C1622AD"/>
    <w:rsid w:val="5E7914CA"/>
    <w:rsid w:val="6ADC6160"/>
    <w:rsid w:val="791A5A70"/>
    <w:rsid w:val="7FA6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2022-02-25T03:19:00Z</dcterms:created>
  <dc:creator>xiaoba</dc:creator>
  <cp:lastModifiedBy>Luminary</cp:lastModifiedBy>
  <dcterms:modified xsi:type="dcterms:W3CDTF">2022-02-25T04:45:26Z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B0D417A6F3354FB4A2B775B80B7421BB</vt:lpwstr>
  </property>
</Properties>
</file>