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聊城市人民政府办公室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关于公布聊城市第三批历史建筑名录的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各县（市、区）人民政府，市属开发区管委会，市政府有关部</w:t>
      </w:r>
      <w:bookmarkStart w:id="0" w:name="_GoBack"/>
      <w:bookmarkEnd w:id="0"/>
      <w:r>
        <w:rPr>
          <w:rFonts w:hint="eastAsia"/>
          <w:sz w:val="28"/>
          <w:szCs w:val="28"/>
        </w:rPr>
        <w:t>门、直属机构：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为加强我市历史建筑保护与利用，传承和弘扬优秀历史文化，切实做好历史文化名城整改工作，根据《住房城乡建设部办公厅关于印发〈历史文化街区划定和历史建筑确定工作方案〉的通知》（建办规函〔2016〕681号）、《住房城乡建设部关于加强历史建筑保护与利用工作的通知》（建规〔2017〕212号）和《住房城乡建设部 国家文物局关于印发〈国家历史文化名城申报管理办法（试行）〉的通知》（建科规〔2020〕6号）的要求，经市政府同意，将原李家汇源杂货铺后院北屋等39处建筑列为聊城市第三批历史建筑，现予以公布。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　　各有关单位要按照《历史文化名城名镇名村保护条例》《山东省历史文化名城名镇名村保护条例》等有关规定，认真做好历史建筑的建档、挂牌、维护修缮和活化利用，最大限度发挥历史建筑使用价值，积极引导社会力量参与历史建筑的保护利用，鼓励开展历史建筑保护利用试点工作，共同做好我市历史建筑的保护与管理。</w:t>
      </w:r>
    </w:p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附件：聊城市第三批历史建筑名录　　</w:t>
      </w: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聊城市人民政府办公室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2021年1月17日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2021-01-22T02:44:27Z</dcterms:created>
  <dc:creator>Administrator</dc:creator>
  <cp:lastModifiedBy>Luminary</cp:lastModifiedBy>
  <dcterms:modified xsi:type="dcterms:W3CDTF">2021-01-22T02:45:28Z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