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pStyle w:val="2"/>
        <w:keepNext w:val="0"/>
        <w:keepLines w:val="0"/>
        <w:widowControl/>
        <w:suppressLineNumbers w:val="0"/>
        <w:spacing w:before="75" w:beforeAutospacing="0" w:after="75" w:afterAutospacing="0"/>
        <w:ind w:left="0" w:right="0" w:firstLine="0"/>
        <w:jc w:val="center"/>
        <w:rPr>
          <w:rFonts w:hint="eastAsia" w:ascii="华文宋体" w:hAnsi="华文宋体" w:eastAsia="华文宋体" w:cs="华文宋体"/>
          <w:b w:val="0"/>
          <w:bCs w:val="0"/>
          <w:kern w:val="2"/>
          <w:sz w:val="40"/>
          <w:szCs w:val="48"/>
          <w:lang w:val="en-US" w:eastAsia="zh-CN" w:bidi="ar-SA"/>
        </w:rPr>
      </w:pPr>
      <w:r>
        <w:rPr>
          <w:rFonts w:hint="eastAsia" w:ascii="华文宋体" w:hAnsi="华文宋体" w:eastAsia="华文宋体" w:cs="华文宋体"/>
          <w:b w:val="0"/>
          <w:bCs w:val="0"/>
          <w:kern w:val="2"/>
          <w:sz w:val="40"/>
          <w:szCs w:val="48"/>
          <w:lang w:val="en-US" w:eastAsia="zh-CN" w:bidi="ar-SA"/>
        </w:rPr>
        <w:t>聊城市人民政府办公室关于印发聊城市入河排污口监督管理工作实施方案的通知</w:t>
      </w:r>
    </w:p>
    <w:p>
      <w:pPr>
        <w:rPr>
          <w:rFonts w:hint="eastAsia"/>
        </w:rPr>
      </w:pPr>
    </w:p>
    <w:p>
      <w:pPr>
        <w:jc w:val="center"/>
        <w:rPr>
          <w:rFonts w:hint="eastAsia" w:ascii="CESI仿宋-GB2312" w:hAnsi="CESI仿宋-GB2312" w:eastAsia="CESI仿宋-GB2312" w:cs="CESI仿宋-GB2312"/>
          <w:kern w:val="2"/>
          <w:sz w:val="28"/>
          <w:szCs w:val="28"/>
          <w:lang w:val="en-US" w:eastAsia="zh-CN" w:bidi="ar-SA"/>
        </w:rPr>
      </w:pPr>
      <w:r>
        <w:rPr>
          <w:rFonts w:hint="eastAsia" w:ascii="CESI仿宋-GB2312" w:hAnsi="CESI仿宋-GB2312" w:eastAsia="CESI仿宋-GB2312" w:cs="CESI仿宋-GB2312"/>
          <w:kern w:val="2"/>
          <w:sz w:val="28"/>
          <w:szCs w:val="28"/>
          <w:lang w:val="en-US" w:eastAsia="zh-CN" w:bidi="ar-SA"/>
        </w:rPr>
        <w:t>聊政办字〔2023〕11号</w:t>
      </w:r>
    </w:p>
    <w:p>
      <w:pPr>
        <w:rPr>
          <w:rFonts w:hint="eastAsia"/>
        </w:rPr>
      </w:pPr>
    </w:p>
    <w:p>
      <w:pPr>
        <w:rPr>
          <w:rFonts w:hint="eastAsia"/>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xml:space="preserve">各县（市、区）人民政府，市属开发区管委会，市政府有关部门、直属机构： </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《聊城市入河排污口监督管理工作实施方案》已经市政府同意，现印发给你们，请认真贯彻执行。　　　　</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聊城市人民政府办公室</w:t>
      </w: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2023年4月22日</w:t>
      </w:r>
    </w:p>
    <w:p>
      <w:pPr>
        <w:keepNext w:val="0"/>
        <w:keepLines w:val="0"/>
        <w:pageBreakBefore w:val="0"/>
        <w:widowControl w:val="0"/>
        <w:kinsoku/>
        <w:wordWrap w:val="0"/>
        <w:overflowPunct/>
        <w:topLinePunct w:val="0"/>
        <w:autoSpaceDE/>
        <w:autoSpaceDN/>
        <w:bidi w:val="0"/>
        <w:adjustRightInd/>
        <w:snapToGrid/>
        <w:spacing w:line="600" w:lineRule="exact"/>
        <w:jc w:val="both"/>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（此件公开发布）　　　　</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聊城市入河排污口监督管理工作实施方案</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为强化和规范全市入河排污口监督管理，根据《山东省人民政府办公厅关于印发山东省入河入海排污口监督管理工作方案的通知》（鲁政办字〔2023〕7号）要求，现结合我市实际，制定本实施方案。</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一、指导思想</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以习近平新时代中国特色社会主义思想为指导，深入学习贯彻党的二十大精神，认真践行习近平生态文明思想，围绕“走在前列、全面开创”目标定位，强化实施“受纳水体—排污口—排污通道—排污单位”全过程监督管理机制，不断提升全市水环境质量和流域监管水平，助力全面深入打好碧水保卫战。</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二、工作目标</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以黄河（干流）、徒骇河、马颊河、卫运河为重点，在前期全市入河排污口排查、监测、溯源、整治的基础上，深入开展排污口全域动态排查和成效检验。2024年6月底前，完成黄河流域入河排污口整治任务。2025年年底前，全面深入完成全市入河排污口整治，构建权责清晰、高效联动、上下贯通、执法严明的排污口监督管理体系，有效管控入河污染物排放量，不断改善全市水生态环境质量。</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三、重点任务</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（一）开展动态排查和排污口分类</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各县（市、区）、市属开发区在前期入河排污口排查溯源的基础上，按照“有口皆查、应查尽查”要求，对辖区内排污口进行地毯式排查，全面摸清行政区域内的排污口底数，建立动态管理台账，实现排污口排查全域覆盖和新增排污口动态清零。根据生态环境部公布的入河排污口分类标准，按照排污口责任主体所属行业及排放特征，将排污口分为工业排污口、城镇污水处理厂排污口、农业排口、其他排口4种类型。（牵头单位：市生态环境局；责任单位：市住房城乡建设局、市城管局、市水利局、市农业农村局，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（二）确定排污口责任主体</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按照“谁污染、谁治理”和政府兜底的原则，对现有排污口开展溯源分析，逐一核实对应的岸上排污单位，确认排污口责任主体，建立责任主体清单。经溯源后仍无法确定责任主体的，由县级政府或其指定的部门作为责任主体；跨市、县且无法协商一致的，由其共同上级政府或政府指定的部门确认责任主体。在行业主管部门的监督指导下，各责任主体负责源头治理以及排污口整治、规范化建设、维护管理等工作。（牵头单位：市生态环境局、市住房城乡建设局、市城管局、市水利局、市农业农村局；责任单位：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（三）开展排污口整治成效县级自查</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对照“依法取缔一批、清理合并一批、规范整治一批”的整治要求，落实“县级自查、市级抽查、省级核查”的排污口现场检查机制。各县（市、区）、市属开发区要制定年度计划，边干边查、定期自查；市级统筹组织抽查，重点查看工矿企业、工业及其他各类园区污水处理厂、城镇污水处理厂三大类排污口排查整治成效和设置审批备案情况，扎实推进各项任务落地实施，确保我市在省级核查以及各级生态环境保护督察中不出问题。建立排污口整治销号制度，各县（市、区）、市属开发区通过依法取缔、清理合并和规范整治等措施，结合自查情况，对本行政区域内排污口清单进行增补或删减，由生态环境部门汇总后形成本辖区需保留的排污口清单，于2023年5月中旬前报市生态环境局备案。（牵头单位：市生态环境局、市城管局、市水利局、市农业农村局、市住房城乡建设局；责任单位：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（四）加强排污口监督管理</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优化布局设置。制定各级生态环境保护相关规划和功能区划要严格落实排污口设置相关规定。规划环境影响评价要严格审核排污口设置情况，从源头规范设置。新（改、扩）建入河排污口设置应满足水功能区划要求，未达到水功能区目标的地区，要严格控制除城镇污水处理厂外的排污口设置。现存排污口整治工作以治污截污为重点，结合城市排水“两个清零、一个提标”、农村环境综合治理及流域环境综合治理等工作统筹开展，逐步实现排污口数量压减、布局优化、设置规范。（牵头单位：市生态环境局；责任单位：市行政审批局、市住房城乡建设局、市城管局、市水利局、市农业农村局，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2.规范审批备案。工矿企业、工业和其他各类园区污水处理厂、城镇污水处理厂入河排污口设置依法依规实行审核制。我省入河排污口实行与建设项目的环境影响评价文件同级审批。除生态环境部相关流域(海域)生态环境监督管理局负责审批的入河排污口外,环境影响评价文件由省级审批的建设项目、存在市际争议的入河排污口设置，原则上由省生态环境厅负责审批。市、县级入河排污口审批部门依法依规对国家和省级审批权限外的其他入河排污口新、改、扩建进行审批，及时为符合条件的排污单位补办入河排污口手续，并将入河排污口设置审批纳入行政许可事项清单，依法依规作出行政许可决定。依法不需要编制环境影响评价文件但需设置排污口的建设项目，由具有行政审核权限的县级以上入河排污口审批部门或者流域管理机构依法依规办理入河排污口设置申请事项。排污口审核备案信息要及时依法向社会公开。（牵头单位：市行政审批局；责任单位：市生态环境局、市水利局，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3.加强监督管理。生态环境部门统一行使排污口污染排放监督管理和行政执法职责，水利等相关部门按照职责分工协作，有监督管理权限的部门依法加强日常监督管理。各县（市、区）、市属开发区根据排污口类型、责任主体及部门职责等，落实排污口监督管理责任，强化日常监督管理。（牵头单位：市生态环境局、市住房城乡建设局、市城管局、市水利局、市农业农村局；责任单位：各县〔市、区〕人民政府、市属开发区管委会）充分发挥生态环境保护委员会、河湖长制以及水污染防治联防联控机制等相关工作平台机制作用，统筹推进排污口监督管理工作开展。（牵头单位：市生态环境局、市水利局；责任单位：各县〔市、区〕人民政府、市属开发区管委会）探索城镇初期雨水收集处理方式，强化城镇市政雨洪排口管理手段，加大对借道排污、雨污混排、雨水口晴天排水等行为的监督管理力度，最大限度减少生活污水直排入河量。（牵头单位：市城管局、市住房城乡建设局；责任单位：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4.强化环境监测。生态环境部门应会同相关部门，通过核发排污许可证等措施，依法明确排污口责任主体自行监测、信息公开等要求。将排污口监测工作纳入年度生态环境监测方案，按照“双随机、一公开”原则，对工矿企业、工业及其他各类园区污水处理厂、城镇污水处理厂排污口开展监测，水生态环境质量较差的地方应适当加大监测频次。对工业园区等多个排污单位共用一个排污口的，应在排水汇入排污通道（管线）前安装必要的监测计量设施，便于分清责任。（牵头单位：市生态环境局、市城管局；责任单位：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5.严格执法监管。各级生态环境部门要加大排污口环境执法力度，严厉打击涉水污染源偷排直排、超标排污、私设排污口等违法行为。对私设暗管接入他人排污口等逃避监督管理借道排污的，依法予以严厉查处。结合徒骇河、马颊河、卫运河等重点河流及其支流水质情况组织开展入河排污口专项执法检查。落实排污口超标溯源联动机制，填补排污单位到排污口之间的监管空白区。市城市管理部门等有关市直部门根据《城镇排水与污水处理条例》（国务院令第641号）、《聊城市水环境保护条例》规定，加强对城镇排水与污水处理等相关排口的执法监管。各级河（湖）长在日常巡河时，将排污口纳入现场检查内容，发现问题及时通知相应责任部门进行处置。（牵头单位：市生态环境局、市城管局、市水利局；责任单位：市河长制办公室相关成员单位，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6.实施智慧监管。充分利用国家和省级入河排污口监督管理信息化平台，打造“身份证式”排污口管理模式，实行排污口二维码信息化管理，实现排污口排查整治、设置审核备案、日常监督管理等信息的动态管理。生态环境、水利部门要加强信息资源共享，提升信息化管理水平。（牵头单位：市生态环境局、市水利局；责任单位：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四、保障措施</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（一）加强组织领导</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各级各部门要严格落实属地责任和行业主管责任，切实做好排污口排查整治和监督管理各项工作，排污口排查整治、监测和日常监管经费应纳入同级财政预算予以保障。市生态环境部门会同市水利部门等有关部门建立协调联动机制，强化目标考核，督促各级各部门落实排污口监督管理职责。（牵头单位：市生态环境局、市水利局、市财政局；责任单位：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（二）明确责任分工</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各级行业主管部门要强化对入河排污口责任主体的监管，生态环境部门负责工业企业及其他各类园区污水处理厂、农村污水处理设施的监督管理；住房和城乡建设部门负责建制镇生活污水处理设施和配套管网的建设，与生态环境部门、城市管理部门按职责分工负责全市城市建成区黑臭水体的监督管理；城市管理部门负责城市、县城生活污水处理设施及建成区范围内未纳入城镇污水处理厂的生活污水排水单位的监督管理；水利部门负责灌区内骨干排水渠、退水渠、引水渠的监督管理；农业农村部门负责水产养殖场的监督管理，与生态环境部门按职责分工负责畜禽养殖场的监督管理；行政审批部门负责有关排污口的审批备案；财政部门负责落实经费保障。（牵头单位：市生态环境局、市住房城乡建设局、市城管局、市水利局、市农业农村局、市行政审批局、市财政局；责任单位：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（三）严格监督问效</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强化考核问责，将排污口整治和监督管理情况列入市级生态环境保护检查重要内容及河湖长制考核，对工作开展不力的，视情采取通报、预警、约谈、挂牌督办等手段，督促各级各部门落实排污口监督管理主体责任。（牵头单位：市生态环境局、市水利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（四）强化公众监督</w:t>
      </w:r>
    </w:p>
    <w:p>
      <w:pPr>
        <w:keepNext w:val="0"/>
        <w:keepLines w:val="0"/>
        <w:pageBreakBefore w:val="0"/>
        <w:widowControl w:val="0"/>
        <w:kinsoku/>
        <w:wordWrap w:val="0"/>
        <w:overflowPunct/>
        <w:topLinePunct w:val="0"/>
        <w:autoSpaceDE/>
        <w:autoSpaceDN/>
        <w:bidi w:val="0"/>
        <w:adjustRightInd/>
        <w:snapToGrid/>
        <w:spacing w:line="600" w:lineRule="exact"/>
        <w:ind w:firstLine="64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市级生态环境部门开设排污口整治及管理工作专栏，展示工作成果，接受社会监督。充分利用“随手拍”、有奖举报等群众监督机制，发挥基层河（湖）长、环保网格员、环保公益组织作用，构建全社会共同监督、协同共治的水生态环境保护大格局。（牵头单位：市生态环境局、市水利局；责任单位：各县〔市、区〕人民政府、市属开发区管委会）　　</w:t>
      </w:r>
      <w:bookmarkStart w:id="0" w:name="_GoBack"/>
      <w:bookmarkEnd w:id="0"/>
    </w:p>
    <w:p>
      <w:pPr>
        <w:keepNext w:val="0"/>
        <w:keepLines w:val="0"/>
        <w:pageBreakBefore w:val="0"/>
        <w:widowControl w:val="0"/>
        <w:kinsoku/>
        <w:wordWrap w:val="0"/>
        <w:overflowPunct/>
        <w:topLinePunct w:val="0"/>
        <w:autoSpaceDE/>
        <w:autoSpaceDN/>
        <w:bidi w:val="0"/>
        <w:adjustRightInd/>
        <w:snapToGrid/>
        <w:spacing w:line="600" w:lineRule="exact"/>
        <w:ind w:firstLine="64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附件</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eastAsia" w:ascii="CESI仿宋-GB2312" w:hAnsi="CESI仿宋-GB2312" w:eastAsia="CESI仿宋-GB2312" w:cs="CESI仿宋-GB2312"/>
          <w:b w:val="0"/>
          <w:bCs w:val="0"/>
          <w:sz w:val="32"/>
          <w:szCs w:val="32"/>
        </w:rPr>
      </w:pPr>
      <w:r>
        <w:rPr>
          <w:rFonts w:hint="eastAsia" w:ascii="CESI仿宋-GB2312" w:hAnsi="CESI仿宋-GB2312" w:eastAsia="CESI仿宋-GB2312" w:cs="CESI仿宋-GB2312"/>
          <w:b w:val="0"/>
          <w:bCs w:val="0"/>
          <w:sz w:val="32"/>
          <w:szCs w:val="32"/>
        </w:rPr>
        <w:t>入河排污口分类</w:t>
      </w:r>
    </w:p>
    <w:p>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eastAsia" w:ascii="CESI仿宋-GB2312" w:hAnsi="CESI仿宋-GB2312" w:eastAsia="CESI仿宋-GB2312" w:cs="CESI仿宋-GB2312"/>
          <w:b/>
          <w:bCs/>
          <w:sz w:val="32"/>
          <w:szCs w:val="32"/>
        </w:rPr>
      </w:pPr>
    </w:p>
    <w:tbl>
      <w:tblPr>
        <w:tblW w:w="87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2310"/>
        <w:gridCol w:w="5450"/>
        <w:gridCol w:w="9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3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一级分类</w:t>
            </w:r>
          </w:p>
        </w:tc>
        <w:tc>
          <w:tcPr>
            <w:tcW w:w="54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二级分类</w:t>
            </w:r>
          </w:p>
        </w:tc>
        <w:tc>
          <w:tcPr>
            <w:tcW w:w="9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序号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310"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工业排污口</w:t>
            </w:r>
          </w:p>
        </w:tc>
        <w:tc>
          <w:tcPr>
            <w:tcW w:w="5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工矿企业排污口</w:t>
            </w:r>
          </w:p>
        </w:tc>
        <w:tc>
          <w:tcPr>
            <w:tcW w:w="9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31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24"/>
                <w:szCs w:val="24"/>
                <w:u w:val="none"/>
              </w:rPr>
            </w:pPr>
          </w:p>
        </w:tc>
        <w:tc>
          <w:tcPr>
            <w:tcW w:w="5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工业及其他各类园区污水处理厂排污口</w:t>
            </w:r>
          </w:p>
        </w:tc>
        <w:tc>
          <w:tcPr>
            <w:tcW w:w="9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31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24"/>
                <w:szCs w:val="24"/>
                <w:u w:val="none"/>
              </w:rPr>
            </w:pPr>
          </w:p>
        </w:tc>
        <w:tc>
          <w:tcPr>
            <w:tcW w:w="5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工矿企业雨洪排口</w:t>
            </w:r>
          </w:p>
        </w:tc>
        <w:tc>
          <w:tcPr>
            <w:tcW w:w="9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31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24"/>
                <w:szCs w:val="24"/>
                <w:u w:val="none"/>
              </w:rPr>
            </w:pPr>
          </w:p>
        </w:tc>
        <w:tc>
          <w:tcPr>
            <w:tcW w:w="5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工业及其他各类园区污水处理厂雨洪排口</w:t>
            </w:r>
          </w:p>
        </w:tc>
        <w:tc>
          <w:tcPr>
            <w:tcW w:w="9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3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城镇污水处理厂排污口</w:t>
            </w:r>
          </w:p>
        </w:tc>
        <w:tc>
          <w:tcPr>
            <w:tcW w:w="5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城镇污水处理厂排污口</w:t>
            </w:r>
          </w:p>
        </w:tc>
        <w:tc>
          <w:tcPr>
            <w:tcW w:w="9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310"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农业排口</w:t>
            </w:r>
          </w:p>
        </w:tc>
        <w:tc>
          <w:tcPr>
            <w:tcW w:w="5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规模化畜禽养殖排污口</w:t>
            </w:r>
          </w:p>
        </w:tc>
        <w:tc>
          <w:tcPr>
            <w:tcW w:w="9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31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24"/>
                <w:szCs w:val="24"/>
                <w:u w:val="none"/>
              </w:rPr>
            </w:pPr>
          </w:p>
        </w:tc>
        <w:tc>
          <w:tcPr>
            <w:tcW w:w="5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规模化水产养殖排污口</w:t>
            </w:r>
          </w:p>
        </w:tc>
        <w:tc>
          <w:tcPr>
            <w:tcW w:w="9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310"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其他排口</w:t>
            </w:r>
          </w:p>
        </w:tc>
        <w:tc>
          <w:tcPr>
            <w:tcW w:w="5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大中型灌区排口</w:t>
            </w:r>
          </w:p>
        </w:tc>
        <w:tc>
          <w:tcPr>
            <w:tcW w:w="9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31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24"/>
                <w:szCs w:val="24"/>
                <w:u w:val="none"/>
              </w:rPr>
            </w:pPr>
          </w:p>
        </w:tc>
        <w:tc>
          <w:tcPr>
            <w:tcW w:w="5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港口码头排污口</w:t>
            </w:r>
          </w:p>
        </w:tc>
        <w:tc>
          <w:tcPr>
            <w:tcW w:w="9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31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24"/>
                <w:szCs w:val="24"/>
                <w:u w:val="none"/>
              </w:rPr>
            </w:pPr>
          </w:p>
        </w:tc>
        <w:tc>
          <w:tcPr>
            <w:tcW w:w="5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规模以下畜禽养殖排污口</w:t>
            </w:r>
          </w:p>
        </w:tc>
        <w:tc>
          <w:tcPr>
            <w:tcW w:w="9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31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24"/>
                <w:szCs w:val="24"/>
                <w:u w:val="none"/>
              </w:rPr>
            </w:pPr>
          </w:p>
        </w:tc>
        <w:tc>
          <w:tcPr>
            <w:tcW w:w="5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规模以下水产养殖排污口</w:t>
            </w:r>
          </w:p>
        </w:tc>
        <w:tc>
          <w:tcPr>
            <w:tcW w:w="9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31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24"/>
                <w:szCs w:val="24"/>
                <w:u w:val="none"/>
              </w:rPr>
            </w:pPr>
          </w:p>
        </w:tc>
        <w:tc>
          <w:tcPr>
            <w:tcW w:w="5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城镇生活污水散排口</w:t>
            </w:r>
          </w:p>
        </w:tc>
        <w:tc>
          <w:tcPr>
            <w:tcW w:w="9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31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24"/>
                <w:szCs w:val="24"/>
                <w:u w:val="none"/>
              </w:rPr>
            </w:pPr>
          </w:p>
        </w:tc>
        <w:tc>
          <w:tcPr>
            <w:tcW w:w="5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农村污水处理设施排污口</w:t>
            </w:r>
          </w:p>
        </w:tc>
        <w:tc>
          <w:tcPr>
            <w:tcW w:w="9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31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24"/>
                <w:szCs w:val="24"/>
                <w:u w:val="none"/>
              </w:rPr>
            </w:pPr>
          </w:p>
        </w:tc>
        <w:tc>
          <w:tcPr>
            <w:tcW w:w="5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农村生活污水散排口</w:t>
            </w:r>
          </w:p>
        </w:tc>
        <w:tc>
          <w:tcPr>
            <w:tcW w:w="9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31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24"/>
                <w:szCs w:val="24"/>
                <w:u w:val="none"/>
              </w:rPr>
            </w:pPr>
          </w:p>
        </w:tc>
        <w:tc>
          <w:tcPr>
            <w:tcW w:w="5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其他排污口</w:t>
            </w:r>
          </w:p>
        </w:tc>
        <w:tc>
          <w:tcPr>
            <w:tcW w:w="9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15</w:t>
            </w:r>
          </w:p>
        </w:tc>
      </w:tr>
    </w:tbl>
    <w:p>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eastAsia" w:ascii="CESI仿宋-GB2312" w:hAnsi="CESI仿宋-GB2312" w:eastAsia="CESI仿宋-GB2312" w:cs="CESI仿宋-GB2312"/>
          <w:b/>
          <w:bCs/>
          <w:sz w:val="32"/>
          <w:szCs w:val="32"/>
          <w:lang w:eastAsia="zh-CN"/>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聊城市人民政府办公室2023年4月23日印发</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A00002BF" w:usb1="38CF7CFA" w:usb2="00082016" w:usb3="00000000" w:csb0="00040001" w:csb1="00000000"/>
  </w:font>
  <w:font w:name="华文宋体">
    <w:panose1 w:val="02010600040101010101"/>
    <w:charset w:val="86"/>
    <w:family w:val="auto"/>
    <w:pitch w:val="default"/>
    <w:sig w:usb0="00000287" w:usb1="080F0000" w:usb2="00000000" w:usb3="00000000" w:csb0="0004009F" w:csb1="DFD70000"/>
  </w:font>
  <w:font w:name="Standard Symbols PS">
    <w:panose1 w:val="05050102010706020507"/>
    <w:charset w:val="00"/>
    <w:family w:val="auto"/>
    <w:pitch w:val="default"/>
    <w:sig w:usb0="00000003" w:usb1="00000000" w:usb2="00000000" w:usb3="00000000" w:csb0="00000001" w:csb1="00000000"/>
  </w:font>
  <w:font w:name="CESI仿宋-GB2312">
    <w:panose1 w:val="02000500000000000000"/>
    <w:charset w:val="86"/>
    <w:family w:val="auto"/>
    <w:pitch w:val="default"/>
    <w:sig w:usb0="800002AF" w:usb1="084F6CF8" w:usb2="00000010"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AB0813"/>
    <w:rsid w:val="BF3F0B55"/>
    <w:rsid w:val="FDF6EF1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user</cp:lastModifiedBy>
  <dcterms:modified xsi:type="dcterms:W3CDTF">2023-05-10T16:09:09Z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