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60" w:line="299" w:lineRule="auto"/>
        <w:ind w:right="3"/>
        <w:jc w:val="center"/>
        <w:rPr>
          <w:rFonts w:hint="eastAsia" w:asciiTheme="majorEastAsia" w:hAnsiTheme="majorEastAsia" w:eastAsiaTheme="majorEastAsia" w:cstheme="majorEastAsia"/>
          <w:spacing w:val="20"/>
          <w:sz w:val="40"/>
          <w:szCs w:val="40"/>
          <w:lang w:eastAsia="zh-CN"/>
        </w:rPr>
      </w:pPr>
      <w:r>
        <w:rPr>
          <w:rFonts w:hint="eastAsia" w:asciiTheme="majorEastAsia" w:hAnsiTheme="majorEastAsia" w:eastAsiaTheme="majorEastAsia" w:cstheme="majorEastAsia"/>
          <w:spacing w:val="20"/>
          <w:sz w:val="40"/>
          <w:szCs w:val="40"/>
          <w:lang w:eastAsia="zh-CN"/>
        </w:rPr>
        <w:t>聊城市人民政府办公室</w:t>
      </w:r>
    </w:p>
    <w:p>
      <w:pPr>
        <w:spacing w:before="60" w:line="299" w:lineRule="auto"/>
        <w:ind w:right="3"/>
        <w:jc w:val="center"/>
        <w:rPr>
          <w:rFonts w:hint="eastAsia" w:asciiTheme="majorEastAsia" w:hAnsiTheme="majorEastAsia" w:eastAsiaTheme="majorEastAsia" w:cstheme="majorEastAsia"/>
          <w:spacing w:val="20"/>
          <w:sz w:val="40"/>
          <w:szCs w:val="40"/>
          <w:lang w:eastAsia="zh-CN"/>
        </w:rPr>
      </w:pPr>
      <w:r>
        <w:rPr>
          <w:rFonts w:hint="eastAsia" w:asciiTheme="majorEastAsia" w:hAnsiTheme="majorEastAsia" w:eastAsiaTheme="majorEastAsia" w:cstheme="majorEastAsia"/>
          <w:spacing w:val="20"/>
          <w:sz w:val="40"/>
          <w:szCs w:val="40"/>
          <w:lang w:eastAsia="zh-CN"/>
        </w:rPr>
        <w:t>关于明确聊城市劳动和社会保障监察管辖范围的通知</w:t>
      </w:r>
    </w:p>
    <w:p>
      <w:pPr>
        <w:spacing w:before="60" w:line="299" w:lineRule="auto"/>
        <w:ind w:right="3"/>
        <w:rPr>
          <w:rFonts w:hint="eastAsia" w:ascii="仿宋" w:hAnsi="仿宋" w:eastAsia="仿宋" w:cs="仿宋"/>
          <w:spacing w:val="20"/>
          <w:sz w:val="32"/>
          <w:szCs w:val="32"/>
          <w:lang w:eastAsia="zh-CN"/>
        </w:rPr>
      </w:pPr>
    </w:p>
    <w:p>
      <w:pPr>
        <w:spacing w:before="60" w:line="299" w:lineRule="auto"/>
        <w:ind w:right="3"/>
        <w:rPr>
          <w:rFonts w:hint="eastAsia" w:ascii="仿宋" w:hAnsi="仿宋" w:eastAsia="仿宋" w:cs="仿宋"/>
          <w:spacing w:val="20"/>
          <w:sz w:val="32"/>
          <w:szCs w:val="32"/>
          <w:lang w:eastAsia="zh-CN"/>
        </w:rPr>
      </w:pPr>
      <w:r>
        <w:rPr>
          <w:rFonts w:hint="eastAsia" w:ascii="仿宋" w:hAnsi="仿宋" w:eastAsia="仿宋" w:cs="仿宋"/>
          <w:spacing w:val="20"/>
          <w:sz w:val="32"/>
          <w:szCs w:val="32"/>
          <w:lang w:eastAsia="zh-CN"/>
        </w:rPr>
        <w:t>各县（市、区）人民政府，市属开发区管委会，市政府有关部门、直属机构：</w:t>
      </w:r>
    </w:p>
    <w:p>
      <w:pPr>
        <w:spacing w:before="60" w:line="299" w:lineRule="auto"/>
        <w:ind w:right="3" w:firstLine="720" w:firstLineChars="200"/>
        <w:rPr>
          <w:rFonts w:hint="eastAsia" w:ascii="仿宋" w:hAnsi="仿宋" w:eastAsia="仿宋" w:cs="仿宋"/>
          <w:spacing w:val="20"/>
          <w:sz w:val="32"/>
          <w:szCs w:val="32"/>
          <w:lang w:eastAsia="zh-CN"/>
        </w:rPr>
      </w:pPr>
      <w:r>
        <w:rPr>
          <w:rFonts w:hint="eastAsia" w:ascii="仿宋" w:hAnsi="仿宋" w:eastAsia="仿宋" w:cs="仿宋"/>
          <w:spacing w:val="20"/>
          <w:sz w:val="32"/>
          <w:szCs w:val="32"/>
          <w:lang w:eastAsia="zh-CN"/>
        </w:rPr>
        <w:t>根据《劳动保障监察条例》和《山东省劳动和社会保障监察条例》要求，现对明确我市劳动和社会保障监察管辖权限有关事项通知如下:</w:t>
      </w:r>
    </w:p>
    <w:p>
      <w:pPr>
        <w:spacing w:before="60" w:line="299" w:lineRule="auto"/>
        <w:ind w:right="3" w:firstLine="720" w:firstLineChars="200"/>
        <w:rPr>
          <w:rFonts w:hint="eastAsia" w:ascii="仿宋" w:hAnsi="仿宋" w:eastAsia="仿宋" w:cs="仿宋"/>
          <w:spacing w:val="20"/>
          <w:sz w:val="32"/>
          <w:szCs w:val="32"/>
          <w:lang w:eastAsia="zh-CN"/>
        </w:rPr>
      </w:pPr>
      <w:r>
        <w:rPr>
          <w:rFonts w:hint="eastAsia" w:ascii="仿宋" w:hAnsi="仿宋" w:eastAsia="仿宋" w:cs="仿宋"/>
          <w:spacing w:val="20"/>
          <w:sz w:val="32"/>
          <w:szCs w:val="32"/>
          <w:lang w:eastAsia="zh-CN"/>
        </w:rPr>
        <w:t>一、管辖权限划分原则</w:t>
      </w:r>
    </w:p>
    <w:p>
      <w:pPr>
        <w:spacing w:before="60" w:line="299" w:lineRule="auto"/>
        <w:ind w:right="3" w:firstLine="720" w:firstLineChars="200"/>
        <w:rPr>
          <w:rFonts w:hint="eastAsia" w:ascii="仿宋" w:hAnsi="仿宋" w:eastAsia="仿宋" w:cs="仿宋"/>
          <w:spacing w:val="20"/>
          <w:sz w:val="32"/>
          <w:szCs w:val="32"/>
          <w:lang w:eastAsia="zh-CN"/>
        </w:rPr>
      </w:pPr>
      <w:r>
        <w:rPr>
          <w:rFonts w:hint="eastAsia" w:ascii="仿宋" w:hAnsi="仿宋" w:eastAsia="仿宋" w:cs="仿宋"/>
          <w:spacing w:val="20"/>
          <w:sz w:val="32"/>
          <w:szCs w:val="32"/>
          <w:lang w:eastAsia="zh-CN"/>
        </w:rPr>
        <w:t>我市劳动和社会保障监察管辖权限遵照“属地管理、分责、高效便民”的原则划分，推动执法重心下移、执法力量下沉。</w:t>
      </w:r>
    </w:p>
    <w:p>
      <w:pPr>
        <w:spacing w:before="60" w:line="299" w:lineRule="auto"/>
        <w:ind w:right="3" w:firstLine="720" w:firstLineChars="200"/>
        <w:rPr>
          <w:rFonts w:hint="eastAsia" w:ascii="仿宋" w:hAnsi="仿宋" w:eastAsia="仿宋" w:cs="仿宋"/>
          <w:spacing w:val="20"/>
          <w:sz w:val="32"/>
          <w:szCs w:val="32"/>
          <w:lang w:eastAsia="zh-CN"/>
        </w:rPr>
      </w:pPr>
      <w:r>
        <w:rPr>
          <w:rFonts w:hint="eastAsia" w:ascii="仿宋" w:hAnsi="仿宋" w:eastAsia="仿宋" w:cs="仿宋"/>
          <w:spacing w:val="20"/>
          <w:sz w:val="32"/>
          <w:szCs w:val="32"/>
          <w:lang w:eastAsia="zh-CN"/>
        </w:rPr>
        <w:t>市人力资源和社会保障部门主管全市劳动和社会保障监察工作。</w:t>
      </w:r>
    </w:p>
    <w:p>
      <w:pPr>
        <w:spacing w:before="60" w:line="299" w:lineRule="auto"/>
        <w:ind w:right="3" w:firstLine="720" w:firstLineChars="200"/>
        <w:rPr>
          <w:rFonts w:hint="eastAsia" w:ascii="仿宋" w:hAnsi="仿宋" w:eastAsia="仿宋" w:cs="仿宋"/>
          <w:spacing w:val="20"/>
          <w:sz w:val="32"/>
          <w:szCs w:val="32"/>
          <w:lang w:eastAsia="zh-CN"/>
        </w:rPr>
      </w:pPr>
      <w:r>
        <w:rPr>
          <w:rFonts w:hint="eastAsia" w:ascii="仿宋" w:hAnsi="仿宋" w:eastAsia="仿宋" w:cs="仿宋"/>
          <w:spacing w:val="20"/>
          <w:sz w:val="32"/>
          <w:szCs w:val="32"/>
          <w:lang w:eastAsia="zh-CN"/>
        </w:rPr>
        <w:t>各县（市、区）人力资源和社会保障部门、聊城江北水城旅游度假区相关部门主管本行政区域内的劳动和社会保障监察工作，依托基层人力资源社会保障公共服务平台，推进劳动和社会保障监察服务向基层下沉，发挥乡镇（街道)排查调处化解职能。</w:t>
      </w:r>
    </w:p>
    <w:p>
      <w:pPr>
        <w:spacing w:before="60" w:line="299" w:lineRule="auto"/>
        <w:ind w:right="3" w:firstLine="720" w:firstLineChars="200"/>
        <w:rPr>
          <w:rFonts w:hint="eastAsia" w:ascii="仿宋" w:hAnsi="仿宋" w:eastAsia="仿宋" w:cs="仿宋"/>
          <w:spacing w:val="20"/>
          <w:sz w:val="32"/>
          <w:szCs w:val="32"/>
          <w:lang w:eastAsia="zh-CN"/>
        </w:rPr>
      </w:pPr>
      <w:r>
        <w:rPr>
          <w:rFonts w:hint="eastAsia" w:ascii="仿宋" w:hAnsi="仿宋" w:eastAsia="仿宋" w:cs="仿宋"/>
          <w:spacing w:val="20"/>
          <w:sz w:val="32"/>
          <w:szCs w:val="32"/>
          <w:lang w:eastAsia="zh-CN"/>
        </w:rPr>
        <w:t>二、管辖权限划分内容</w:t>
      </w:r>
    </w:p>
    <w:p>
      <w:pPr>
        <w:spacing w:before="60" w:line="299" w:lineRule="auto"/>
        <w:ind w:right="3" w:firstLine="720" w:firstLineChars="200"/>
        <w:rPr>
          <w:rFonts w:hint="eastAsia" w:ascii="仿宋" w:hAnsi="仿宋" w:eastAsia="仿宋" w:cs="仿宋"/>
          <w:spacing w:val="20"/>
          <w:sz w:val="32"/>
          <w:szCs w:val="32"/>
          <w:lang w:eastAsia="zh-CN"/>
        </w:rPr>
      </w:pPr>
      <w:r>
        <w:rPr>
          <w:rFonts w:hint="eastAsia" w:ascii="仿宋" w:hAnsi="仿宋" w:eastAsia="仿宋" w:cs="仿宋"/>
          <w:spacing w:val="20"/>
          <w:sz w:val="32"/>
          <w:szCs w:val="32"/>
          <w:lang w:eastAsia="zh-CN"/>
        </w:rPr>
        <w:t>（一）市人力资源和社会保障部门负责对以下用人单位实施劳动和社会保障监察:</w:t>
      </w:r>
    </w:p>
    <w:p>
      <w:pPr>
        <w:spacing w:before="60" w:line="299" w:lineRule="auto"/>
        <w:ind w:right="3" w:firstLine="720" w:firstLineChars="200"/>
        <w:rPr>
          <w:rFonts w:hint="eastAsia" w:ascii="仿宋" w:hAnsi="仿宋" w:eastAsia="仿宋" w:cs="仿宋"/>
          <w:spacing w:val="20"/>
          <w:sz w:val="32"/>
          <w:szCs w:val="32"/>
          <w:lang w:eastAsia="zh-CN"/>
        </w:rPr>
      </w:pPr>
      <w:r>
        <w:rPr>
          <w:rFonts w:hint="eastAsia" w:ascii="仿宋" w:hAnsi="仿宋" w:eastAsia="仿宋" w:cs="仿宋"/>
          <w:spacing w:val="20"/>
          <w:sz w:val="32"/>
          <w:szCs w:val="32"/>
          <w:lang w:eastAsia="zh-CN"/>
        </w:rPr>
        <w:t>1.与劳动者建立劳动关系的市属机关、事业单位、社会团体和市国资委监管企业;</w:t>
      </w:r>
    </w:p>
    <w:p>
      <w:pPr>
        <w:spacing w:before="60" w:line="299" w:lineRule="auto"/>
        <w:ind w:right="3" w:firstLine="720" w:firstLineChars="200"/>
        <w:rPr>
          <w:rFonts w:hint="eastAsia" w:ascii="仿宋" w:hAnsi="仿宋" w:eastAsia="仿宋" w:cs="仿宋"/>
          <w:spacing w:val="20"/>
          <w:sz w:val="32"/>
          <w:szCs w:val="32"/>
          <w:lang w:eastAsia="zh-CN"/>
        </w:rPr>
      </w:pPr>
      <w:r>
        <w:rPr>
          <w:rFonts w:hint="eastAsia" w:ascii="仿宋" w:hAnsi="仿宋" w:eastAsia="仿宋" w:cs="仿宋"/>
          <w:spacing w:val="20"/>
          <w:sz w:val="32"/>
          <w:szCs w:val="32"/>
          <w:lang w:eastAsia="zh-CN"/>
        </w:rPr>
        <w:t>2.聊城经济技术开发区、聊城高新技术产业开发区辖区内的各类用人单位。</w:t>
      </w:r>
    </w:p>
    <w:p>
      <w:pPr>
        <w:spacing w:before="60" w:line="299" w:lineRule="auto"/>
        <w:ind w:right="3" w:firstLine="720" w:firstLineChars="200"/>
        <w:rPr>
          <w:rFonts w:hint="eastAsia" w:ascii="仿宋" w:hAnsi="仿宋" w:eastAsia="仿宋" w:cs="仿宋"/>
          <w:spacing w:val="20"/>
          <w:sz w:val="32"/>
          <w:szCs w:val="32"/>
          <w:lang w:eastAsia="zh-CN"/>
        </w:rPr>
      </w:pPr>
      <w:r>
        <w:rPr>
          <w:rFonts w:hint="eastAsia" w:ascii="仿宋" w:hAnsi="仿宋" w:eastAsia="仿宋" w:cs="仿宋"/>
          <w:spacing w:val="20"/>
          <w:sz w:val="32"/>
          <w:szCs w:val="32"/>
          <w:lang w:eastAsia="zh-CN"/>
        </w:rPr>
        <w:t>（二）各县（市、区）人力资源和社会保障部门、聊城江北水城旅游度假区相关部门对以下用人单位实施劳动和社会保障监察:</w:t>
      </w:r>
    </w:p>
    <w:p>
      <w:pPr>
        <w:spacing w:before="60" w:line="299" w:lineRule="auto"/>
        <w:ind w:right="3" w:firstLine="720" w:firstLineChars="200"/>
        <w:rPr>
          <w:rFonts w:hint="eastAsia" w:ascii="仿宋" w:hAnsi="仿宋" w:eastAsia="仿宋" w:cs="仿宋"/>
          <w:spacing w:val="20"/>
          <w:sz w:val="32"/>
          <w:szCs w:val="32"/>
          <w:lang w:eastAsia="zh-CN"/>
        </w:rPr>
      </w:pPr>
      <w:r>
        <w:rPr>
          <w:rFonts w:hint="eastAsia" w:ascii="仿宋" w:hAnsi="仿宋" w:eastAsia="仿宋" w:cs="仿宋"/>
          <w:spacing w:val="20"/>
          <w:sz w:val="32"/>
          <w:szCs w:val="32"/>
          <w:lang w:eastAsia="zh-CN"/>
        </w:rPr>
        <w:t>1.辖区内在省级以下市场监督管理部门登记注册的各类企业、个体工商户;</w:t>
      </w:r>
    </w:p>
    <w:p>
      <w:pPr>
        <w:spacing w:before="60" w:line="299" w:lineRule="auto"/>
        <w:ind w:right="3" w:firstLine="720" w:firstLineChars="200"/>
        <w:rPr>
          <w:rFonts w:hint="eastAsia" w:ascii="仿宋" w:hAnsi="仿宋" w:eastAsia="仿宋" w:cs="仿宋"/>
          <w:spacing w:val="20"/>
          <w:sz w:val="32"/>
          <w:szCs w:val="32"/>
          <w:lang w:eastAsia="zh-CN"/>
        </w:rPr>
      </w:pPr>
      <w:r>
        <w:rPr>
          <w:rFonts w:hint="eastAsia" w:ascii="仿宋" w:hAnsi="仿宋" w:eastAsia="仿宋" w:cs="仿宋"/>
          <w:spacing w:val="20"/>
          <w:sz w:val="32"/>
          <w:szCs w:val="32"/>
          <w:lang w:eastAsia="zh-CN"/>
        </w:rPr>
        <w:t>2.辖区内中央所属、省属用人单位及与之合资、合作企业和部队、外省（市)驻聊用人单位;</w:t>
      </w:r>
    </w:p>
    <w:p>
      <w:pPr>
        <w:spacing w:before="60" w:line="299" w:lineRule="auto"/>
        <w:ind w:right="3" w:firstLine="720" w:firstLineChars="200"/>
        <w:rPr>
          <w:rFonts w:hint="eastAsia" w:ascii="仿宋" w:hAnsi="仿宋" w:eastAsia="仿宋" w:cs="仿宋"/>
          <w:spacing w:val="20"/>
          <w:sz w:val="32"/>
          <w:szCs w:val="32"/>
          <w:lang w:eastAsia="zh-CN"/>
        </w:rPr>
      </w:pPr>
      <w:r>
        <w:rPr>
          <w:rFonts w:hint="eastAsia" w:ascii="仿宋" w:hAnsi="仿宋" w:eastAsia="仿宋" w:cs="仿宋"/>
          <w:spacing w:val="20"/>
          <w:sz w:val="32"/>
          <w:szCs w:val="32"/>
          <w:lang w:eastAsia="zh-CN"/>
        </w:rPr>
        <w:t>3.与劳动者建立劳动关系的本行政区属机关、事业单位、社会团体;</w:t>
      </w:r>
    </w:p>
    <w:p>
      <w:pPr>
        <w:spacing w:before="60" w:line="299" w:lineRule="auto"/>
        <w:ind w:right="3" w:firstLine="720" w:firstLineChars="200"/>
        <w:rPr>
          <w:rFonts w:hint="eastAsia" w:ascii="仿宋" w:hAnsi="仿宋" w:eastAsia="仿宋" w:cs="仿宋"/>
          <w:spacing w:val="20"/>
          <w:sz w:val="32"/>
          <w:szCs w:val="32"/>
          <w:lang w:eastAsia="zh-CN"/>
        </w:rPr>
      </w:pPr>
      <w:r>
        <w:rPr>
          <w:rFonts w:hint="eastAsia" w:ascii="仿宋" w:hAnsi="仿宋" w:eastAsia="仿宋" w:cs="仿宋"/>
          <w:spacing w:val="20"/>
          <w:sz w:val="32"/>
          <w:szCs w:val="32"/>
          <w:lang w:eastAsia="zh-CN"/>
        </w:rPr>
        <w:t>4.辖区内与劳动者建立劳动关系的县级以上政府部门批准（备案)的民办非企业单位;</w:t>
      </w:r>
    </w:p>
    <w:p>
      <w:pPr>
        <w:spacing w:before="60" w:line="299" w:lineRule="auto"/>
        <w:ind w:right="3" w:firstLine="720" w:firstLineChars="200"/>
        <w:rPr>
          <w:rFonts w:hint="eastAsia" w:ascii="仿宋" w:hAnsi="仿宋" w:eastAsia="仿宋" w:cs="仿宋"/>
          <w:spacing w:val="20"/>
          <w:sz w:val="32"/>
          <w:szCs w:val="32"/>
          <w:lang w:eastAsia="zh-CN"/>
        </w:rPr>
      </w:pPr>
      <w:r>
        <w:rPr>
          <w:rFonts w:hint="eastAsia" w:ascii="仿宋" w:hAnsi="仿宋" w:eastAsia="仿宋" w:cs="仿宋"/>
          <w:spacing w:val="20"/>
          <w:sz w:val="32"/>
          <w:szCs w:val="32"/>
          <w:lang w:eastAsia="zh-CN"/>
        </w:rPr>
        <w:t>5.其他应实施的劳动保障监察事项。</w:t>
      </w:r>
    </w:p>
    <w:p>
      <w:pPr>
        <w:spacing w:before="60" w:line="299" w:lineRule="auto"/>
        <w:ind w:right="3" w:firstLine="720" w:firstLineChars="200"/>
        <w:rPr>
          <w:rFonts w:hint="eastAsia" w:ascii="仿宋" w:hAnsi="仿宋" w:eastAsia="仿宋" w:cs="仿宋"/>
          <w:spacing w:val="20"/>
          <w:sz w:val="32"/>
          <w:szCs w:val="32"/>
          <w:lang w:eastAsia="zh-CN"/>
        </w:rPr>
      </w:pPr>
      <w:r>
        <w:rPr>
          <w:rFonts w:hint="eastAsia" w:ascii="仿宋" w:hAnsi="仿宋" w:eastAsia="仿宋" w:cs="仿宋"/>
          <w:spacing w:val="20"/>
          <w:sz w:val="32"/>
          <w:szCs w:val="32"/>
          <w:lang w:eastAsia="zh-CN"/>
        </w:rPr>
        <w:t>（三）在全市范围内跨县（市、区）从事生产经营活动的用人单位，由用工行为发生地的县（市、区）人力资源和社会保障部门管辖;用工行为发生地在聊城江北水城旅游度假区的，由聊城江北水城旅游度假区相关部门管辖。不具备合法经营资格、无营业执照或者已被依法吊销、注销营业执照的非法用工单位，由用工所在地的县（市、区）人力资源和社会保障部门或聊城江北水城旅游度假区相关部门实施劳动和社会保障监察，并及时通报市场监管等部</w:t>
      </w:r>
    </w:p>
    <w:p>
      <w:pPr>
        <w:spacing w:before="60" w:line="299" w:lineRule="auto"/>
        <w:ind w:right="3"/>
        <w:rPr>
          <w:rFonts w:hint="eastAsia" w:ascii="仿宋" w:hAnsi="仿宋" w:eastAsia="仿宋" w:cs="仿宋"/>
          <w:spacing w:val="20"/>
          <w:sz w:val="32"/>
          <w:szCs w:val="32"/>
          <w:lang w:eastAsia="zh-CN"/>
        </w:rPr>
      </w:pPr>
      <w:r>
        <w:rPr>
          <w:rFonts w:hint="eastAsia" w:ascii="仿宋" w:hAnsi="仿宋" w:eastAsia="仿宋" w:cs="仿宋"/>
          <w:spacing w:val="20"/>
          <w:sz w:val="32"/>
          <w:szCs w:val="32"/>
          <w:lang w:eastAsia="zh-CN"/>
        </w:rPr>
        <w:t>门予以查处取缔。</w:t>
      </w:r>
    </w:p>
    <w:p>
      <w:pPr>
        <w:spacing w:before="60" w:line="299" w:lineRule="auto"/>
        <w:ind w:right="3" w:firstLine="720" w:firstLineChars="200"/>
        <w:rPr>
          <w:rFonts w:hint="eastAsia" w:ascii="仿宋" w:hAnsi="仿宋" w:eastAsia="仿宋" w:cs="仿宋"/>
          <w:spacing w:val="20"/>
          <w:sz w:val="32"/>
          <w:szCs w:val="32"/>
          <w:lang w:eastAsia="zh-CN"/>
        </w:rPr>
      </w:pPr>
      <w:r>
        <w:rPr>
          <w:rFonts w:hint="eastAsia" w:ascii="仿宋" w:hAnsi="仿宋" w:eastAsia="仿宋" w:cs="仿宋"/>
          <w:spacing w:val="20"/>
          <w:sz w:val="32"/>
          <w:szCs w:val="32"/>
          <w:lang w:eastAsia="zh-CN"/>
        </w:rPr>
        <w:t>（四）各县（市、区）人力资源和社会保障部门、聊城江北水城旅游度假区相关部门对属于劳动和社会保障监察职责范围但不属于本机构管辖范围的举报投诉，按照“一点举报投诉、全市联动受理”的原则，应当先予以受理后，通过联动平台转交给有管辖权的劳动保障监察机构处理。各县（市、区）人力资源和社会保障部门、聊城</w:t>
      </w:r>
    </w:p>
    <w:p>
      <w:pPr>
        <w:spacing w:before="60" w:line="299" w:lineRule="auto"/>
        <w:ind w:right="3"/>
        <w:rPr>
          <w:rFonts w:hint="eastAsia" w:ascii="仿宋" w:hAnsi="仿宋" w:eastAsia="仿宋" w:cs="仿宋"/>
          <w:spacing w:val="20"/>
          <w:sz w:val="32"/>
          <w:szCs w:val="32"/>
          <w:lang w:eastAsia="zh-CN"/>
        </w:rPr>
      </w:pPr>
      <w:r>
        <w:rPr>
          <w:rFonts w:hint="eastAsia" w:ascii="仿宋" w:hAnsi="仿宋" w:eastAsia="仿宋" w:cs="仿宋"/>
          <w:spacing w:val="20"/>
          <w:sz w:val="32"/>
          <w:szCs w:val="32"/>
          <w:lang w:eastAsia="zh-CN"/>
        </w:rPr>
        <w:t>江北水城旅游度假区相关部门对管辖权发生争议的，报请市人力资源和社会保障部门指定管辖。</w:t>
      </w:r>
    </w:p>
    <w:p>
      <w:pPr>
        <w:spacing w:before="60" w:line="299" w:lineRule="auto"/>
        <w:ind w:right="3" w:firstLine="720" w:firstLineChars="200"/>
        <w:rPr>
          <w:rFonts w:hint="eastAsia" w:ascii="仿宋" w:hAnsi="仿宋" w:eastAsia="仿宋" w:cs="仿宋"/>
          <w:spacing w:val="20"/>
          <w:sz w:val="32"/>
          <w:szCs w:val="32"/>
          <w:lang w:eastAsia="zh-CN"/>
        </w:rPr>
      </w:pPr>
      <w:r>
        <w:rPr>
          <w:rFonts w:hint="eastAsia" w:ascii="仿宋" w:hAnsi="仿宋" w:eastAsia="仿宋" w:cs="仿宋"/>
          <w:spacing w:val="20"/>
          <w:sz w:val="32"/>
          <w:szCs w:val="32"/>
          <w:lang w:eastAsia="zh-CN"/>
        </w:rPr>
        <w:t>三、有关要求</w:t>
      </w:r>
    </w:p>
    <w:p>
      <w:pPr>
        <w:spacing w:before="60" w:line="299" w:lineRule="auto"/>
        <w:ind w:right="3" w:firstLine="720" w:firstLineChars="200"/>
        <w:rPr>
          <w:rFonts w:hint="eastAsia" w:ascii="仿宋" w:hAnsi="仿宋" w:eastAsia="仿宋" w:cs="仿宋"/>
          <w:spacing w:val="20"/>
          <w:sz w:val="32"/>
          <w:szCs w:val="32"/>
          <w:lang w:eastAsia="zh-CN"/>
        </w:rPr>
      </w:pPr>
      <w:r>
        <w:rPr>
          <w:rFonts w:hint="eastAsia" w:ascii="仿宋" w:hAnsi="仿宋" w:eastAsia="仿宋" w:cs="仿宋"/>
          <w:spacing w:val="20"/>
          <w:sz w:val="32"/>
          <w:szCs w:val="32"/>
          <w:lang w:eastAsia="zh-CN"/>
        </w:rPr>
        <w:t>各县（市、区）人民政府、市属开发区管委会和市直有关部门（单位)要根据各自职责，支持、协助人力资源社会保障行政部门的劳动和社会保障监察工作。要站在事关劳动关系和谐、社会稳定的高度，充分认识做好劳动和社会保障监察工作的重要意义，从健全体制、完善机制、强化手段、充实力量、确保投入等方面入手，认真研究解决劳动和社会保障监察工作中存在的问题。要严格按照本通知确定的劳动和社会保障监察管辖权限开展监察执法工作，特别要高度重视重大劳动和社会保障违法案件的查处工作，切实维护劳动者合法权益，有效保障社会和谐稳定。</w:t>
      </w:r>
    </w:p>
    <w:p>
      <w:pPr>
        <w:spacing w:before="60" w:line="299" w:lineRule="auto"/>
        <w:ind w:right="3" w:firstLine="720" w:firstLineChars="200"/>
        <w:rPr>
          <w:rFonts w:hint="eastAsia" w:ascii="仿宋" w:hAnsi="仿宋" w:eastAsia="仿宋" w:cs="仿宋"/>
          <w:spacing w:val="20"/>
          <w:sz w:val="32"/>
          <w:szCs w:val="32"/>
          <w:lang w:eastAsia="zh-CN"/>
        </w:rPr>
      </w:pPr>
      <w:r>
        <w:rPr>
          <w:rFonts w:hint="eastAsia" w:ascii="仿宋" w:hAnsi="仿宋" w:eastAsia="仿宋" w:cs="仿宋"/>
          <w:spacing w:val="20"/>
          <w:sz w:val="32"/>
          <w:szCs w:val="32"/>
          <w:lang w:eastAsia="zh-CN"/>
        </w:rPr>
        <w:t>四、特别说明</w:t>
      </w:r>
    </w:p>
    <w:p>
      <w:pPr>
        <w:spacing w:before="60" w:line="299" w:lineRule="auto"/>
        <w:ind w:right="3" w:firstLine="720" w:firstLineChars="200"/>
        <w:rPr>
          <w:rFonts w:hint="eastAsia" w:ascii="仿宋" w:hAnsi="仿宋" w:eastAsia="仿宋" w:cs="仿宋"/>
          <w:spacing w:val="20"/>
          <w:sz w:val="32"/>
          <w:szCs w:val="32"/>
          <w:lang w:eastAsia="zh-CN"/>
        </w:rPr>
      </w:pPr>
      <w:r>
        <w:rPr>
          <w:rFonts w:hint="eastAsia" w:ascii="仿宋" w:hAnsi="仿宋" w:eastAsia="仿宋" w:cs="仿宋"/>
          <w:spacing w:val="20"/>
          <w:sz w:val="32"/>
          <w:szCs w:val="32"/>
          <w:lang w:eastAsia="zh-CN"/>
        </w:rPr>
        <w:t>本通知未作规定的，按照国家法律规定执行。本通知由市人力资源和社会保障部门负责解释。</w:t>
      </w:r>
    </w:p>
    <w:p>
      <w:pPr>
        <w:spacing w:before="60" w:line="299" w:lineRule="auto"/>
        <w:ind w:right="3"/>
        <w:rPr>
          <w:rFonts w:hint="eastAsia" w:ascii="仿宋" w:hAnsi="仿宋" w:eastAsia="仿宋" w:cs="仿宋"/>
          <w:spacing w:val="20"/>
          <w:sz w:val="32"/>
          <w:szCs w:val="32"/>
          <w:lang w:eastAsia="zh-CN"/>
        </w:rPr>
      </w:pPr>
    </w:p>
    <w:p>
      <w:pPr>
        <w:spacing w:before="60" w:line="299" w:lineRule="auto"/>
        <w:ind w:right="3"/>
        <w:jc w:val="right"/>
        <w:rPr>
          <w:rFonts w:hint="eastAsia" w:ascii="仿宋" w:hAnsi="仿宋" w:eastAsia="仿宋" w:cs="仿宋"/>
          <w:spacing w:val="20"/>
          <w:sz w:val="32"/>
          <w:szCs w:val="32"/>
          <w:lang w:eastAsia="zh-CN"/>
        </w:rPr>
      </w:pPr>
      <w:bookmarkStart w:id="0" w:name="_GoBack"/>
      <w:bookmarkEnd w:id="0"/>
      <w:r>
        <w:rPr>
          <w:rFonts w:hint="eastAsia" w:ascii="仿宋" w:hAnsi="仿宋" w:eastAsia="仿宋" w:cs="仿宋"/>
          <w:spacing w:val="20"/>
          <w:sz w:val="32"/>
          <w:szCs w:val="32"/>
          <w:lang w:eastAsia="zh-CN"/>
        </w:rPr>
        <w:t>聊城市人民政府办公室</w:t>
      </w:r>
    </w:p>
    <w:p>
      <w:pPr>
        <w:spacing w:before="60" w:line="299" w:lineRule="auto"/>
        <w:ind w:right="3"/>
        <w:jc w:val="right"/>
        <w:rPr>
          <w:rFonts w:hint="eastAsia" w:ascii="仿宋" w:hAnsi="仿宋" w:eastAsia="仿宋" w:cs="仿宋"/>
          <w:spacing w:val="20"/>
          <w:sz w:val="32"/>
          <w:szCs w:val="32"/>
          <w:lang w:eastAsia="zh-CN"/>
        </w:rPr>
      </w:pPr>
      <w:r>
        <w:rPr>
          <w:rFonts w:hint="eastAsia" w:ascii="仿宋" w:hAnsi="仿宋" w:eastAsia="仿宋" w:cs="仿宋"/>
          <w:spacing w:val="20"/>
          <w:sz w:val="32"/>
          <w:szCs w:val="32"/>
          <w:lang w:eastAsia="zh-CN"/>
        </w:rPr>
        <w:t>2022年6月14日</w:t>
      </w:r>
    </w:p>
    <w:p>
      <w:pPr>
        <w:spacing w:before="60" w:line="299" w:lineRule="auto"/>
        <w:ind w:right="3"/>
        <w:rPr>
          <w:rFonts w:hint="eastAsia" w:ascii="仿宋" w:hAnsi="仿宋" w:eastAsia="仿宋" w:cs="仿宋"/>
          <w:spacing w:val="20"/>
          <w:sz w:val="32"/>
          <w:szCs w:val="32"/>
          <w:lang w:eastAsia="zh-CN"/>
        </w:rPr>
      </w:pPr>
      <w:r>
        <w:rPr>
          <w:rFonts w:hint="eastAsia" w:ascii="仿宋" w:hAnsi="仿宋" w:eastAsia="仿宋" w:cs="仿宋"/>
          <w:spacing w:val="20"/>
          <w:sz w:val="32"/>
          <w:szCs w:val="32"/>
          <w:lang w:eastAsia="zh-CN"/>
        </w:rPr>
        <w:t>（此件公开发布)</w:t>
      </w: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bidi w:val="0"/>
        <w:rPr>
          <w:rFonts w:hint="eastAsia"/>
          <w:u w:val="single" w:color="FFFFFF" w:themeColor="background1"/>
          <w:lang w:eastAsia="zh-CN"/>
        </w:rPr>
      </w:pPr>
    </w:p>
    <w:p>
      <w:pPr>
        <w:bidi w:val="0"/>
      </w:pPr>
    </w:p>
    <w:p>
      <w:pPr>
        <w:bidi w:val="0"/>
        <w:rPr>
          <w:rFonts w:hint="eastAsia"/>
          <w:lang w:eastAsia="zh-CN"/>
        </w:rPr>
      </w:pPr>
    </w:p>
    <w:sectPr>
      <w:footerReference r:id="rId5" w:type="default"/>
      <w:pgSz w:w="11906" w:h="16838"/>
      <w:pgMar w:top="1431" w:right="1552" w:bottom="1823" w:left="1560" w:header="0" w:footer="1488"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58" w:lineRule="auto"/>
      <w:rPr>
        <w:rFonts w:ascii="微软雅黑" w:hAnsi="微软雅黑" w:eastAsia="微软雅黑" w:cs="微软雅黑"/>
        <w:sz w:val="26"/>
        <w:szCs w:val="2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ZTVjMDQxYjA4NGI5N2RkYmNkNTlkMDJkZjEzOTc1NTcifQ=="/>
  </w:docVars>
  <w:rsids>
    <w:rsidRoot w:val="00000000"/>
    <w:rsid w:val="33342D99"/>
    <w:rsid w:val="352B147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Words>1386</Words>
  <Characters>1390</Characters>
  <TotalTime>3</TotalTime>
  <ScaleCrop>false</ScaleCrop>
  <LinksUpToDate>false</LinksUpToDate>
  <CharactersWithSpaces>1392</CharactersWithSpaces>
  <Application>WPS Office_11.1.0.11830_F1E327BC-269C-435d-A152-05C5408002CA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2022-06-23T17:08:00Z</dcterms:created>
  <dc:creator>作者</dc:creator>
  <cp:keywords>关键字</cp:keywords>
  <cp:lastModifiedBy>Luminary</cp:lastModifiedBy>
  <dcterms:modified xsi:type="dcterms:W3CDTF">2022-07-08T02:42:16Z</dcterms:modified>
  <dc:subject>科目</dc:subject>
  <dc:title>标题</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2022-07-05T16:18:02Z</vt:filetime>
  </property>
  <property fmtid="{D5CDD505-2E9C-101B-9397-08002B2CF9AE}" pid="4" name="KSOProductBuildVer">
    <vt:lpwstr>2052-11.1.0.11830</vt:lpwstr>
  </property>
  <property fmtid="{D5CDD505-2E9C-101B-9397-08002B2CF9AE}" pid="5" name="ICV">
    <vt:lpwstr>6A6BA344096E4AA4ACB9BFC7BB991D79</vt:lpwstr>
  </property>
</Properties>
</file>