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度假区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2022年“政府开放月”活动统计表</w:t>
      </w:r>
    </w:p>
    <w:tbl>
      <w:tblPr>
        <w:tblStyle w:val="6"/>
        <w:tblW w:w="14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304"/>
        <w:gridCol w:w="2466"/>
        <w:gridCol w:w="6917"/>
        <w:gridCol w:w="153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tblHeader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时  间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活 动 主 题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活    动    内    容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承办单位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9月第一周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shd w:val="clear" w:color="auto" w:fill="FFFFFF"/>
              </w:rPr>
              <w:t>政务公开您监督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shd w:val="clear" w:color="auto" w:fill="FFFFFF"/>
              </w:rPr>
              <w:t>满意于集您来评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邀请镇人代表走进于集镇便民服务中心，了解便民服务中心开展“一站式”行政服务情况，体验便民服务中心的办事流程。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于集镇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赵飞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8543800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9月第一周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“听意见促提升”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人大代表座谈会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邀请镇人代表走进于集镇便民服务中心，召开座谈会，请人大代表为进一步提升便民服务中心规范化、标准建设和窗口服务水平提出合理化建议。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于集镇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赵飞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8543800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9月第一周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“政策宣讲赶大集”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在于集镇大集设立政策咨询宣讲点，为赶集群众提供方政策咨询和解答服务。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于集镇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赵飞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8543800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9月16日（拟定）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政务公开零距离敞开大门欢迎您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邀请企业代表、群众代表来行政审批局进行实地参观和座谈交流，让群众了解政府工作。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度假区行政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审批局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5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9月15日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护航知识产权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服务创新发展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组织召开知识产权质押融资座谈会，邀请专业机构就知识产权质押融资政策进行解读, 征集企业在知识产权培育保护方面的诉求，提高企业的核心竞争力，促进知识产权高质量发展。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度假区市场监管局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隋松伯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6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9月2日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  <w:lang w:eastAsia="zh-CN"/>
              </w:rPr>
              <w:t>做</w:t>
            </w:r>
            <w:r>
              <w:rPr>
                <w:rFonts w:hint="eastAsia" w:cs="仿宋_GB2312" w:asciiTheme="minorEastAsia" w:hAnsiTheme="minorEastAsia"/>
                <w:szCs w:val="21"/>
              </w:rPr>
              <w:t>环保模范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扬环保美德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开设政策咨询点，为企业“面对面”提供政策咨询。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度假区生态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环境分局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杨秀飞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9月上旬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政务公开政策理论宣讲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“喜迎二十大”政策理论宣讲。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度假区文明办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何伊宁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8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9月7日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房屋征收政策交流活动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进村入户，近距离与群众接触，以调查问卷，你问我答的方式进行。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度假区房屋征收服务中心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杨之伟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9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9月15日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房屋征收政策宣传活动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333333"/>
                <w:szCs w:val="21"/>
              </w:rPr>
              <w:t>发放房屋征收补偿政策宣传宣传手册。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度假区房屋征收服务中心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杨之伟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10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9月第一周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shd w:val="clear" w:color="auto" w:fill="FFFFFF"/>
              </w:rPr>
              <w:t>公开透明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shd w:val="clear" w:color="auto" w:fill="FFFFFF"/>
              </w:rPr>
              <w:t>阳光政务</w:t>
            </w:r>
          </w:p>
        </w:tc>
        <w:tc>
          <w:tcPr>
            <w:tcW w:w="6917" w:type="dxa"/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ind w:firstLine="420" w:firstLineChars="200"/>
              <w:jc w:val="both"/>
              <w:rPr>
                <w:rFonts w:cs="仿宋_GB2312"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kern w:val="2"/>
                <w:sz w:val="21"/>
                <w:szCs w:val="21"/>
              </w:rPr>
              <w:t>拟邀请“两代表一委员”、群众代表参观李海务街道便民服务大厅、李海务街道综治中心、李海务街道司法所，了解便民服务大厅、综治中心、司法所窗口设置、办事程序、服务举措。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李海务街道办事处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邢玉轩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8571017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11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9月第一周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shd w:val="clear" w:color="auto" w:fill="FFFFFF"/>
              </w:rPr>
              <w:t>畅通诉求渠道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shd w:val="clear" w:color="auto" w:fill="FFFFFF"/>
              </w:rPr>
              <w:t>齐力办“实事”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召开座谈会，向各代表介绍本单位重点工作、特色亮点工作开展情况，以及民生密切相关的工作事项流程。请他们为我单位工作建言献策。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李海务街道办事处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邢玉轩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8571017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12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9月第二周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“政策宣讲赶大集”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在李海务大集上设立政策咨询宣讲点，为赶集群众宣传政策、提供各方面咨询及解答服务。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李海务街道办事处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邢玉轩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8571017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1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9月9日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color w:val="333333"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color w:val="333333"/>
                <w:spacing w:val="8"/>
                <w:kern w:val="0"/>
                <w:szCs w:val="21"/>
                <w:shd w:val="clear" w:color="auto" w:fill="FFFFFF"/>
              </w:rPr>
              <w:t>助企纾困！区财政局全力提升企业获得感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52" w:firstLineChars="200"/>
              <w:rPr>
                <w:rFonts w:cs="仿宋_GB2312" w:asciiTheme="minorEastAsia" w:hAnsiTheme="minorEastAsia"/>
                <w:color w:val="333333"/>
                <w:spacing w:val="8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color w:val="333333"/>
                <w:spacing w:val="8"/>
                <w:kern w:val="0"/>
                <w:szCs w:val="21"/>
                <w:shd w:val="clear" w:color="auto" w:fill="FFFFFF"/>
              </w:rPr>
              <w:t>走进区企业进行送政策上门服务活动。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度假区财政局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李月东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1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9月15日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安全警示教育</w:t>
            </w:r>
          </w:p>
        </w:tc>
        <w:tc>
          <w:tcPr>
            <w:tcW w:w="6917" w:type="dxa"/>
            <w:vAlign w:val="center"/>
          </w:tcPr>
          <w:p>
            <w:pPr>
              <w:pStyle w:val="8"/>
              <w:spacing w:line="36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观看安全警示教育片。</w:t>
            </w:r>
          </w:p>
          <w:p>
            <w:pPr>
              <w:pStyle w:val="8"/>
              <w:spacing w:line="36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邀请专家进行安全授课。</w:t>
            </w:r>
          </w:p>
          <w:p>
            <w:pPr>
              <w:pStyle w:val="8"/>
              <w:spacing w:line="36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邀请群众代表安全生产交流。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度假区安监局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赵联锦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1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5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9月1日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机关开放日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邀请群众、企业代表走进政府机关办公场所、政务服务场所，列席办公会议，体验政府工作和政务服务流程。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度假区经济商务服务中心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吴亚男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7130776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1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6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9月11日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座谈交流日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由局长主持，科室负责同志参加，与公众代表零距离接触，开展交流，并积极收集代表提出的意见和建议。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度假区经济商务服务</w:t>
            </w:r>
            <w:r>
              <w:rPr>
                <w:rFonts w:hint="eastAsia" w:cs="仿宋_GB2312" w:asciiTheme="minorEastAsia" w:hAnsiTheme="minorEastAsia"/>
                <w:szCs w:val="21"/>
                <w:lang w:eastAsia="zh-CN"/>
              </w:rPr>
              <w:t>中</w:t>
            </w:r>
            <w:r>
              <w:rPr>
                <w:rFonts w:hint="eastAsia" w:cs="仿宋_GB2312" w:asciiTheme="minorEastAsia" w:hAnsiTheme="minorEastAsia"/>
                <w:szCs w:val="21"/>
              </w:rPr>
              <w:t>心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吴亚男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7130776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1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9月21日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深入商户开展全国文明典范城市创建活动日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联合商户，对商户卫生进行彻底清理，并就可能存在的安全问题隐患及垃圾分类、疫情防控等方面进行深入沟通交流，从业务职能角度给与一定的意见建议。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度假区经济商务服务中心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吴亚男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7130776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default" w:cs="仿宋_GB2312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18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9月5日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公共文化-群众满意度宣传活动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发放惠民书券和开展群众文化生活满意度宣传活动。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度假区文化旅游局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李义濮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default" w:cs="仿宋_GB2312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19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9月上旬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“喜迎二十大”政策理论宣讲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围绕新时代新形势下的政务信息公开的政策理论进行宣讲。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度假区文明办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何伊宁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2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9月20日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color w:val="222222"/>
                <w:spacing w:val="8"/>
                <w:szCs w:val="21"/>
                <w:shd w:val="clear" w:color="auto" w:fill="FFFFFF"/>
              </w:rPr>
              <w:t>“献礼二十大 倡廉树清风”廉政教育宣传月活动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52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222222"/>
                <w:spacing w:val="8"/>
                <w:szCs w:val="21"/>
                <w:shd w:val="clear" w:color="auto" w:fill="FFFFFF"/>
              </w:rPr>
              <w:t>通过拉横幅、唠家常、发放清风扇等方式宣讲信访受理范围和相关政策法规。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度假区纪检监察工委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刘泽岳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2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9月15日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“政策宣讲入基层”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开展政策咨询、政策宣讲，和群众、企业负责人“面对面、沟通”提供政策咨询和解答相关服务工作。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度假区金融监测服务中心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李剑锋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2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9月中旬</w:t>
            </w:r>
          </w:p>
        </w:tc>
        <w:tc>
          <w:tcPr>
            <w:tcW w:w="2466" w:type="dxa"/>
            <w:vAlign w:val="center"/>
          </w:tcPr>
          <w:p>
            <w:pPr>
              <w:widowControl/>
              <w:shd w:val="clear" w:color="auto" w:fill="FFFFFF"/>
              <w:spacing w:before="167" w:line="360" w:lineRule="exact"/>
              <w:outlineLvl w:val="0"/>
              <w:rPr>
                <w:rFonts w:cs="仿宋_GB2312"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color w:val="333333"/>
                <w:kern w:val="36"/>
                <w:szCs w:val="21"/>
              </w:rPr>
              <w:t>物业管理政策法规宣传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向辖区物业和小区业主宣传物业管理法规政策及相关知识，耐心细致地解答业主关注的物业相关热点问题，引导小区业主积极参与社区自治，提升业主法治意识。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度假区住建局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贾春燕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2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9月1日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走进湖西街道，关注便民服务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邀请人大代表、群众代表、党员代表到便民服务中心、社区了解事项办理流程、为民服务政策落实情况，向公众全方位介绍和展现街道的主要职能、制度规范、便民服务事项等。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度假区湖西街道办事处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尹卓露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6171601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default" w:cs="仿宋_GB2312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24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9月7日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坚持依法行政，深化政务公开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邀请人大代表、党外人士、群众代表参加座谈交流会，了解湖西街道政务公开流程，针对公开事项和内容提出意见和建议。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度假区湖西街道办事处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张道源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6171601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2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5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9月中旬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政府信息公开工作知识</w:t>
            </w:r>
          </w:p>
          <w:p>
            <w:pPr>
              <w:spacing w:line="360" w:lineRule="exact"/>
              <w:rPr>
                <w:rFonts w:cs="仿宋_GB2312"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竞赛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开展全区线下或线下知识竞赛活动，调动工作人员的主动性、积极性。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度假区管委会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办公室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李凯</w:t>
            </w:r>
          </w:p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6011962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2</w:t>
            </w: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  <w:lang w:val="en-US" w:eastAsia="zh-CN"/>
              </w:rPr>
              <w:t>6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9月上旬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不动产登记走进社区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与群众零距离、面对面宣讲政策，积极回应群众关切，精准解决群众关心的问题，解答群众有关不动产登记的疑惑，让每家每户在家就能便捷的了解政策。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自然资源和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规划局江</w:t>
            </w:r>
            <w:r>
              <w:rPr>
                <w:rFonts w:hint="eastAsia" w:cs="仿宋_GB2312" w:asciiTheme="minorEastAsia" w:hAnsiTheme="minorEastAsia"/>
                <w:szCs w:val="21"/>
                <w:lang w:eastAsia="zh-CN"/>
              </w:rPr>
              <w:t>北</w:t>
            </w:r>
            <w:r>
              <w:rPr>
                <w:rFonts w:hint="eastAsia" w:cs="仿宋_GB2312" w:asciiTheme="minorEastAsia" w:hAnsiTheme="minorEastAsia"/>
                <w:szCs w:val="21"/>
              </w:rPr>
              <w:t>水城旅游度假区分局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杨晓萌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6011006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30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9月7日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体验行政机关办事流程进行座谈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邀请度假区开发建设单位、群众（村民）代表走进资规分局规划科，体验规划业务办理工作，进行座谈，了解开发建设单位（群众）办理规划业务时存在的问题，听取建议意见，探讨解决之道。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自然资源和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规划局江</w:t>
            </w:r>
            <w:r>
              <w:rPr>
                <w:rFonts w:hint="eastAsia" w:cs="仿宋_GB2312" w:asciiTheme="minorEastAsia" w:hAnsiTheme="minorEastAsia"/>
                <w:szCs w:val="21"/>
                <w:lang w:eastAsia="zh-CN"/>
              </w:rPr>
              <w:t>北</w:t>
            </w:r>
            <w:r>
              <w:rPr>
                <w:rFonts w:hint="eastAsia" w:cs="仿宋_GB2312" w:asciiTheme="minorEastAsia" w:hAnsiTheme="minorEastAsia"/>
                <w:szCs w:val="21"/>
              </w:rPr>
              <w:t>水城旅游度假区分局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杨晓萌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6011006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31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9月24日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“社会保障主题宣传”</w:t>
            </w:r>
          </w:p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color w:val="333333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公开月活动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3D3D3D"/>
                <w:szCs w:val="21"/>
              </w:rPr>
              <w:t>面对面向群众解读社保政策，积极解答群众最关心关切的社保问题。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度假区社保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中心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刘强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7299077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32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普法宣传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向企业负责人和员工进行法律知识讲解，讲解内容包括《中华人民共和国工会法》《工会劳动法律监督条例》《合同法》等相关法律法规。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度假区总工会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曹丙坤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7100759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33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9月全月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政策解读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为群众“面对面”提供政策咨询和解答服务。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度假区交警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大队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崔庆彬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8557110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34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9月3日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举办反诈小课堂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对常见的兼职刷单诈骗、虚假投资理财诈骗、虚假贷款诈骗、冒充公检法等诈骗手段进行详细讲解。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度假区</w:t>
            </w:r>
            <w:r>
              <w:rPr>
                <w:rFonts w:hint="eastAsia" w:cs="CESI仿宋-GB2312" w:asciiTheme="minorEastAsia" w:hAnsiTheme="minorEastAsia"/>
                <w:szCs w:val="21"/>
              </w:rPr>
              <w:t>湖西派出所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胡再利</w:t>
            </w:r>
          </w:p>
          <w:p>
            <w:pPr>
              <w:spacing w:line="360" w:lineRule="exact"/>
              <w:jc w:val="center"/>
              <w:textAlignment w:val="baseline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7171189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rPr>
                <w:rFonts w:cs="仿宋_GB2312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Cs w:val="21"/>
              </w:rPr>
              <w:t>35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9月20日-30日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统计法制宣传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宣传统计法相关内容。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度假区发展与统计服务中心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李妍</w:t>
            </w:r>
          </w:p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7100656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36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9月10日-20日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度假区农村电商政策宣传活动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向度假区各镇街道宣传农村电商相关政策，普及农村电商知识，进行培训。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度假区农业农村局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安长飞</w:t>
            </w:r>
          </w:p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7100799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63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37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9月2日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纳税人变身税费体验师体验办税服务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ind w:firstLine="420" w:firstLineChars="200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度假区纳税服务股邀请纳税人变身</w:t>
            </w:r>
            <w:r>
              <w:rPr>
                <w:rFonts w:hint="eastAsia" w:cs="CESI仿宋-GB2312" w:asciiTheme="minorEastAsia" w:hAnsiTheme="minorEastAsia"/>
                <w:szCs w:val="21"/>
                <w:lang w:eastAsia="zh-CN"/>
              </w:rPr>
              <w:t>税</w:t>
            </w:r>
            <w:r>
              <w:rPr>
                <w:rFonts w:hint="eastAsia" w:cs="CESI仿宋-GB2312" w:asciiTheme="minorEastAsia" w:hAnsiTheme="minorEastAsia"/>
                <w:szCs w:val="21"/>
              </w:rPr>
              <w:t>费体验师到度假区办税服务厅体验办税服务。通过活动纳税人可以了解到办税服务厅办税服务流程等。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exact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度假区税务局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刘鑫</w:t>
            </w:r>
          </w:p>
          <w:p>
            <w:pPr>
              <w:spacing w:line="360" w:lineRule="exact"/>
              <w:jc w:val="center"/>
              <w:textAlignment w:val="baseline"/>
              <w:rPr>
                <w:rFonts w:cs="CESI仿宋-GB2312" w:asciiTheme="minorEastAsia" w:hAnsiTheme="minorEastAsia"/>
                <w:szCs w:val="21"/>
              </w:rPr>
            </w:pPr>
            <w:r>
              <w:rPr>
                <w:rFonts w:hint="eastAsia" w:cs="CESI仿宋-GB2312" w:asciiTheme="minorEastAsia" w:hAnsiTheme="minorEastAsia"/>
                <w:szCs w:val="21"/>
              </w:rPr>
              <w:t>6057890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6838" w:h="11906" w:orient="landscape"/>
      <w:pgMar w:top="1304" w:right="1247" w:bottom="1134" w:left="124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5606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yNTJhMDdhZTA5ZDAzYjZlMWQyYjFhYzdkMzBmMDAifQ=="/>
  </w:docVars>
  <w:rsids>
    <w:rsidRoot w:val="00172A27"/>
    <w:rsid w:val="00172A27"/>
    <w:rsid w:val="001A4400"/>
    <w:rsid w:val="00215EF6"/>
    <w:rsid w:val="00821526"/>
    <w:rsid w:val="008E7C3A"/>
    <w:rsid w:val="00CD51EA"/>
    <w:rsid w:val="00D403B3"/>
    <w:rsid w:val="00D63342"/>
    <w:rsid w:val="00D67225"/>
    <w:rsid w:val="13BC6CCD"/>
    <w:rsid w:val="38ED7FB6"/>
    <w:rsid w:val="3CC5578E"/>
    <w:rsid w:val="3ECE4F4B"/>
    <w:rsid w:val="69D4224E"/>
    <w:rsid w:val="79B927BA"/>
    <w:rsid w:val="7DFEED55"/>
    <w:rsid w:val="7E7C0048"/>
    <w:rsid w:val="7E9F1A3E"/>
    <w:rsid w:val="AAC7D9B3"/>
    <w:rsid w:val="C3E75EFF"/>
    <w:rsid w:val="D7DE692A"/>
    <w:rsid w:val="D7FE9C10"/>
    <w:rsid w:val="DABD0A85"/>
    <w:rsid w:val="FE5E883D"/>
    <w:rsid w:val="FFBCD3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0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518</Words>
  <Characters>2956</Characters>
  <Lines>24</Lines>
  <Paragraphs>6</Paragraphs>
  <TotalTime>0</TotalTime>
  <ScaleCrop>false</ScaleCrop>
  <LinksUpToDate>false</LinksUpToDate>
  <CharactersWithSpaces>3468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2022-08-21T04:06:00Z</dcterms:created>
  <dc:creator>于集镇人民政府</dc:creator>
  <cp:lastModifiedBy>user</cp:lastModifiedBy>
  <dcterms:modified xsi:type="dcterms:W3CDTF">2022-09-04T09:35:32Z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4904E6B62C874246B874CE791207D0DA</vt:lpwstr>
  </property>
</Properties>
</file>