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聊 城 市 人 民 政 府 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>关于任命张立民等工作人员职务的通知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各县(市、区)人民政府，市属开发区管委会，市政府各部门、直属机构：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市人民政府决定，任命：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张立民为聊城市政务服务综合受理中心主任(试用期一年)；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郭彬为聊城江北水城旅游度假区管理委员会副主任(列解志超之后,试用期一年)。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2022年1月5日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1E0F"/>
    <w:rsid w:val="713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2022-01-14T07:54:00Z</dcterms:created>
  <dc:creator>Administrator</dc:creator>
  <cp:lastModifiedBy>Administrator</cp:lastModifiedBy>
  <dcterms:modified xsi:type="dcterms:W3CDTF">2022-01-14T07:58:21Z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AB47846D3832490EB35C710DDF882AEB</vt:lpwstr>
  </property>
</Properties>
</file>