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firstLine="0"/>
        <w:rPr>
          <w:rFonts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《聊城市打好碧水保卫战2020年行动计划》已经市政府研究同意，现印发给你们，请认真遵照执行。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line="420" w:lineRule="atLeast"/>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聊城市人民政府</w:t>
      </w:r>
    </w:p>
    <w:p>
      <w:pPr>
        <w:pStyle w:val="2"/>
        <w:keepNext w:val="0"/>
        <w:keepLines w:val="0"/>
        <w:widowControl/>
        <w:suppressLineNumbers w:val="0"/>
        <w:spacing w:before="75" w:beforeAutospacing="0" w:after="75" w:afterAutospacing="0" w:line="420" w:lineRule="atLeast"/>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2020年4月8日</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（此件公开发布）　　</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line="420" w:lineRule="atLeast"/>
        <w:ind w:left="0" w:right="0" w:firstLine="0"/>
        <w:jc w:val="center"/>
        <w:rPr>
          <w:rFonts w:hint="default" w:ascii="sans-serif" w:hAnsi="sans-serif" w:eastAsia="sans-serif" w:cs="sans-serif"/>
          <w:i w:val="0"/>
          <w:caps w:val="0"/>
          <w:color w:val="000000"/>
          <w:spacing w:val="0"/>
          <w:sz w:val="24"/>
          <w:szCs w:val="24"/>
        </w:rPr>
      </w:pPr>
      <w:bookmarkStart w:id="0" w:name="_GoBack"/>
      <w:r>
        <w:rPr>
          <w:rStyle w:val="5"/>
          <w:rFonts w:hint="default" w:ascii="sans-serif" w:hAnsi="sans-serif" w:eastAsia="sans-serif" w:cs="sans-serif"/>
          <w:i w:val="0"/>
          <w:caps w:val="0"/>
          <w:color w:val="000000"/>
          <w:spacing w:val="0"/>
          <w:sz w:val="30"/>
          <w:szCs w:val="30"/>
        </w:rPr>
        <w:t>聊城市打好碧水保卫战2020年行动计划</w:t>
      </w:r>
    </w:p>
    <w:bookmarkEnd w:id="0"/>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为切实做好2020年全市水污染防治和水生态环境保护工作，确保打好碧水保卫战，制定本行动计划。</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一、总体要求和主要目标</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（一）总体要求</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2020年是全面建成小康社会和“十三五”规划的收官之年，全市各级各部门要以习近平新时代中国特色社会主义思想为指导，按照生态环境保护“党政同责、一岗双责”要求，坚决扛起政治责任，抓好源头防控，精准施策，实行最严格的水生态环境保护制度。牢固树立“以天保月、以月保年、以支流保干流”的指导思想，深入开展水污染防治重点工作，完善水生态环境综合治理体系，全力打好碧水保卫战。</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（二）主要目标</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通过建立水质考核生态赔偿机制，督促各县（市、区）人民政府、市属开发区管委会进一步落实属地管理责任，加强水环境监管体系建设，抓紧抓好辖区内工业企业污染防治、城区雨污分流、黑臭水体治理、城镇及农村生活污水收集治理、农业面源污染、河道综合治理和河流生态流量优化等重点工作，努力削减入河水污染物排放总量，促进全市水环境质量持续改善。到2020年底，化学需氧量和氨氮排放要比2015年分别下降10.8%和12.6%；四个国控断面中，高唐北湖稳定达到地表水III类标准，徒骇河前油坊、马颊河董姑桥、卫运河油坊桥稳定达到地表水V类标准；地下水质量考核点位极差比例控制在16.7%以内，县级以上集中式饮用水水源水质主要指标达到III类标准。</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二、重点工作任务</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（一）狠抓工业污染治理</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严格建设项目环境准入。根据三条省控以上重点河流水质目标要求，制定和实施全市范围内的差别化环境准入政策，明确各水体、区域环境准入条件，明确禁止和限制发展的涉水行业、生产工艺和产业目录，完成“三线一单”编制。严格执行环境影响评价制度和水污染物总量控制制度，推动高质量发展和绿色发展。〔牵头部门：市生态环境局、市行政审批局；配合部门：市发展改革委、市工业和信息化局；落实部门：各县（市、区）人民政府、市属开发区管委会〕</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强化工业污染源监督管理。在按要求开展随机抽查的基础上，大力开展专项执法行动，强化对工业企业和污水集中处理设施的监督管理，着重加强有色、化工、造纸、印染、火电和钢铁及压延等重点行业的执法力度，督促企业稳定实现达标、达总量排放。依法严肃查处发现的环境违法行为，并视情节采取按日计罚、查封扣押、限产和停产整治等措施，对适用行政拘留和涉嫌环境犯罪的移送公安机关。〔牵头部门：市生态环境局；配合部门：市公安局；落实部门：各县（市、区）人民政府、市属开发区管委会〕充分发挥网格化环境监管体系作用，对新发现的涉水“散乱污”企业，依法清理整治到位。〔牵头部门：市生态环境局；配合部门：市市场监管局、市行政审批局、市工业和信息化局、市自然资源和规划局、国网聊城供电公司；落实部门：各县（市、区）人民政府、市属开发区管委会〕</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加强固定污染源氮、磷和氟化物污染防治。把对县域水环境质量影响较大的氮、磷、氟化物等特征污染物防治摆在突出位置。全面推进重点行业、污水集中处理设施、规模化畜禽养殖场等固定污染源氮、磷达标排放，完成氮、磷重点行业排污许可证核发，并达到国家总量控制要求，严厉打击无证排污等违法行为。各县（市、区）、市属开发区要深入做好氟化物治理，科学解决使用高氟水源造成的不能稳定达标排放问题，严控辖区内工业企业氟化物排放。〔牵头部门：市生态环境局；配合部门:市城管局、市住房城乡建设局、市农业农村局；落实部门：各县（市、区）人民政府、市属开发区管委会〕</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做好纳管企业监管。严格执行《城镇排水与污水处理条例》（国务院令第641号），对影响城镇排水与污水处理设施安全运行的事项进行严格审查，强化污水排入排水管网许可证审批和管理。加强对排放口设置以及预处理设施和水质、水量检测设施建设的监督，对不符合要求的限期整改，对不按许可证排放的依法查处，造成严重后果的吊销许可证。（牵头部门：市城管局、市住房城乡建设局；配合部门：市生态环境局、市行政审批局）对于存在超标、超总量排污等环境违法行为的企业，要依法严肃查处。〔牵头部门：市生态环境局；落实部门：各县（市、区）人民政府、市属开发区管委会〕　　</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（二）保障饮用水水源安全</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强化饮用水水源保护。严格落实饮用水水源保护区制度，规范饮用水水源保护区划定和管理，扎实开展饮用水水源地评估工作。强化县级以上地表水、地下水型和农村“千吨万人”集中式饮用水水源地环境监管，全面排查污染源，严肃查处保护区内的违法行为并督促整改到位。加强对县级以上集中式饮用水水源地水质监测，提升水源地水质安全预警管理能力，切实保障供水安全。〔牵头部门：市生态环境局；配合部门：市水利局；落实部门：市水务集团，各县（市、区）人民政府、市属开发区管委会〕改变市建成区单一供水水源的现状，2020年年底前完成备用水源或应急水源建设。〔牵头部门：市生态环境局、市城管局；配合部门：市水利局；落实部门：市水务集团，各县（市、区）人民政府、市属开发区管委会〕</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防治地下水污染。对未按规定完成地下油罐改造任务的加油站进行查处。〔牵头部门：市生态环境局；配合部门：市行政审批局、市商务投资促进局、市市场监管局；落实部门：各县（市、区）人民政府、市属开发区管委会〕对加油站等存在地下油罐未使用双层罐、未采取建造防渗池或未进行防渗漏监测等其他有效措施的，依法予以查处。督促工业集聚区污水处理厂和废水直排企业按照中央环保督察整改要求进行提标改造，定期开展监督性监测，确保出水水质主要特征污染物满足地表水V类标准。对地下水质量现状为极差或较差的点位重点监测，推进全市化工企业地下水环境监测井建设，及时掌握地下水水质变化情况。加大对鲁西经济开发区现代化工产业园、东阿县化工企业集聚区、山东信发化工有限公司、山东奥克特化工有限公司和聊城化工新材料产业园等化工企业集聚区及周边地下水污染防控问题的督导，督促按期完成整改任务。〔牵头部门：市生态环境局；配合部门：市自然资源和规划局；落实部门：各县（市、区）人民政府、市属开发区管委会〕</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（三）继续提升城镇生活污水治理水平</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加快城镇污水处理设施建设和提标改造。加快城镇污水处理厂建设，严格对照《聊城市人民政府办公室关于印发聊城市2017年度水污染防治工作方案的通知》（聊政办字〔2017〕21号）要求进行排查，确保所有污水处理厂完成提标改造任务，出水化学需氧量、氨氮、总磷、氟化物等主要指标要达到地表水V类水标准（位于东昌府区、经济开发区、高新区、度假区现有及新建的污水处理厂排水主要指标要达到地表水IV类水标准）。到2020年年底，聊城主城区及临清市污水处理率达到98%以上，各县城污水处理率达到90%以上，所有建制镇要实现污水处理设施全覆盖，建制镇污水处理率达到70%以上。严禁徒骇河、马颊河、卫运河和南水北调输水干线沿线建制镇和农村新型社区生活污水未经处理达标直接排放。〔牵头部门：市城管局、市住房城乡建设局；配合部门：市生态环境局、市自然资源和规划局、市行政审批局；落实部门：各县（市、区）人民政府、市属开发区管委会〕</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加强配套管网建设和改造。加快城中村、老旧城区和城乡结合部污水截流、收集和雨污分流改造，采取科学措施防止污水外溢。新建城区、扩建新区、新开发区规划审批严格执行雨污分流制，建设主体单位全面负责雨污分流建设，新建污水处理设施的配套管网应同步设计、同步建设、同步投运。到2022年年底，城市建成区基本实现污水全收集、全处理，建成完善的城市排水防涝体系。〔牵头部门：市城管局、市住房城乡建设局；配合部门：市自然资源和规划局、市生态环境局、市行政审批局；落实部门：各县（市、区）人民政府、市属开发区管委会〕</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狠抓黑臭水体整治工作。继续深入推进各县（市、区）、市属开发区黑臭水体专项整治，按要求开展水质监测工作，编制黑臭水体清单、整治方案和计划，明确目标任务。加大对黑臭水体治理项目资金支持力度，积极争取上级财政资金，引导社会资本投入，依法对项目审批提供绿色通道。到2020年年底，市城区（东昌府区、经济开发区、高新区、旅游度假区）建成区黑臭水体消除比例高于90%，县（市、区）建成区黑臭水体消除比例达到70%。〔牵头部门：市住房城乡建设局、市城管局、市生态环境局；配合部门：市财政局、市行政审批局；落实部门：各县（市、区）人民政府、市属开发区管委会〕</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（四）切实做好农村生活污水和农业面源污染防治</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扎实推进农村生活污水治理。根据《山东省生态环境厅关于印发山东省农村生活污水治理验收要求的通知》（鲁环函〔2019〕369号）要求，在巩固提升2018年前治理成果的基础上，灵活选择治理方式，分步推进农村生活污水治理工作。对已经完成治理任务的行政村进行验收，并报市级审核、省级备案，确保到2020年年底，全市30%以上的行政村完成治理任务，村庄内污水横流、乱排乱放情况基本消除，基本建立运维管护机制。把农村生活污水治理工作纳入网格化管理，加大巡查抽查频次，确保其正常运行。〔牵头部门：市生态环境局、市住房城乡建设局、市农业农村局；落实部门：各县（市、区）人民政府、市属开发区管委会〕</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建立保障农村生活污染治理的长效机制。建立“厕所革命”长效管护机制，确保完成改厕村庄的粪液粪渣及时抽取、转运、处理，防止造成二次污染。〔牵头部门：市住房城乡建设局；落实部门：各县（市、区）人民政府、市属开发区管委会〕各县（市、区）、市属开发区要加大农村生活污水治理资金投入，设立专项保障资金，确保已建成的农村生活污水治理设施的正常运行维护。鼓励和引导社会力量积极参与农村生活污水处理设施项目的建设和运营。〔落实部门：各县（市、区）人民政府、市属开发区管委会〕</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加快推进畜禽养殖粪污资源化利用。优化调整禁养区，巩固禁养区畜禽养殖关闭搬迁成果。加快推进畜禽粪污资源化利用,以专业化、规模化、产业化为方向，加强畜禽粪污资源化利用技术集成，因地制宜推广适宜模式。督促未配套建设粪污处理设施的规模化养殖场（小区）尽快配建粪污处理设施。到2020年年底,全市规模养殖场粪污处理设施装备配建率达到100%，畜禽粪污综合利用率达到81％。〔牵头部门：市农业农村局、市生态环境局；落实部门：各县（市、区）人民政府、市属开发区管委会〕</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调整农业投入结构。大力推广低毒、低残留农药使用，合理控制农药使用量，开展农作物病虫害绿色防控和统防统治。实行测土配方施肥，推广精准施肥技术和机具，减少化肥农药使用量。进一步优化施肥结构，有机肥资源得到合理利用。到2020年年底，单位耕地面积农药和化肥使用量较2015年分别下降10%和6%。〔牵头部门：市农业农村局；落实部门：各县（市、区）人民政府、市属开发区管委会〕</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（五）统筹抓好河道综合治理工作</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强化河道管理。加强河道执法巡查和日常监管，对河道水质异常情况和违法倾倒、违法排污等行为及时采取措施并通报有关部门。有关部门和地方依法组织处理到位，保障断面稳定达标。各级各部门要依据职责对徒骇河、马颊河、卫运河和南水北调输水干线上的新建桥梁按规范建设防撞栏，在有生活供水任务的河道上设置桥面径流收集系统等应急防护工程设施，其他河道上的桥梁依法依规逐步推进建设，避免应急情况发生后，有毒有害物质、危险化学品及处置废水进入河道。〔牵头部门：市水利局、市城管局、市住房城乡建设局、市交通运输局、市生态环境局、南水北调东线山东干线聊城管理局、聊城黄河河务局、漳卫南运河聊城河务局；配合部门：市公安局；落实部门：各县（市、区）人民政府、市属开发区管委会〕</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严格管控入河排污口。从严控制入河排污口审批，对排污量已超出水功能区限制排污总量的地区，限制审批入河排污口。确需设置入河排污口的，原则上应当要求入河排污口出水水质不低于水功能区水质目标。各级各部门要加强各自管辖排水口的监督管理，在保障城区汛期安全的前提下，坚决杜绝各类污水未经处理达标直接排入南水北调输水干线、徒骇河、马颊河、卫运河等重点水域及其支流。启动全市入河排水口排查，组织各县（市、区）、市属开发区对入河排水口进行全面排查，摸清排水来源、水质和责任单位，建立台帐并从严管控，对于违法设置的坚决予以封堵和拆除。〔牵头部门：市生态环境局、市行政审批局、南水北调东线山东干线聊城管理局、市城管局、市住房城乡建设局；配合部门：市水利局、市农业农村局；落实部门：各县（市、区）人民政府、市属开发区管委会〕</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保障人工湿地水质净化工程的正常运行。加强对已建成人工湿地水质净化工程的监督管理。运行主体要严格落实安装在线监测设施的要求，确保正常运行并与市环境监控中心联网，确保湿地出水水质达到设计要求，进一步削减水污染物排放总量，增强水环境承载能力。〔牵头部门：市生态环境局；配合部门：市住房城乡建设局、市城管局、市水利局；落实部门：各县（市、区）人民政府、市属开发区管委会〕</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加强河道综合治理。优化水资源调度管理，针对河道天然径流少等问题，通过调度拦河闸、争取客水引水指标等措施，科学补充主河道生态水量，增强水体自净能力。因调蓄、施工等需要提闸放水时，提前告知相关部门和地方采取加密监测等措施，确保不影响下游水质。加大上级河道治理资金的争取力度，积极开展河道综合治理，避免因河底淤泥原因造成水体二次污染。〔牵头部门：市水利局；配合部门：市生态环境局、聊城黄河河务局、漳卫南运河聊城河务局；落实部门：各县（市、区）人民政府、市属开发区管委会〕</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三、保障措施</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一）充分发挥河长制作用。持续推进河长制从“有名”向“有实”转变，进一步压实各级河长责任，充分调动各成员单位积极性和主动性,加大巡河频次和河道清违清障力度，推动河道生态功能形成有效对接、协同配合、高效处理的工作局面。〔落实部门：各县（市、区）人民政府、市属开发区管委会〕</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二）实行水质生态赔偿制度。进一步完善全市水质自动监测网络，切实做好水质人工监测工作，综合运用自动监测和国家、省、市人工监测数据评判各县（市、区）、市属开发区考核断面月度达标情况（《地表水环境质量标准》(GB3838-2002)表1中除水温、总氮、粪大肠菌群以外的21项指标）。当月考核断面达不到水质考核类别的县（市、区）、市属开发区向市级财政缴纳生态赔偿金，考核断面为3个(含)以下的，每月每断面征收50万元，考核断面为4个(含)以上的，每月每断面征收40万元。自然年度结束后，如我市根据《山东省人民政府办公厅关于印发〈建立健全生态文明建设财政奖补机制实施方案〉的通知》（鲁政办字〔2019〕44号）需向省级财政缴纳生态赔偿金，则征收的县级生态赔偿金将先用于缴纳，如有结余，除部分统筹用于市级水污染防治工作外，其余的奖励给完成年度水质考核目标任务的县（市、区）和市属开发区。（牵头部门：市财政局、市生态环境局）</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三）进一步加大执法力度。各级各部门要严格执行相关法律法规和标准，对影响水环境质量和水生态保护的各类违法行为依法严肃查处，并面向社会公开，保持打击涉水环境违法行为的高压态势。〔牵头部门：市生态环境局、市住房城乡建设局、市城管局、市水利局、市农业农村局；落实部门：各县（市、区）人民政府、市属开发区管委会〕</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四）推行绿色信贷。加强环境信用体系建设，将企业水污染违法信息纳入聊城市金融业统一征信服务平台，加强协作联动，实现部门间的信息共享，全面推进守信激励与失信惩戒机制建设。〔牵头部门：中国人民银行聊城市支行；配合部门：市生态环境局、市城管局、市水利局、市农业农村局、聊城银保监分局；落实部门：各县（市、区）人民政府、市属开发区管委会〕</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五）加大宣传通报力度。每月在市级主要媒体和市政府网站公开各县（市、区）、市属开发区未达到考核目标的断面和生态赔偿金缴纳数额，同时报市委、市政府，形成全社会关心和监督水生态环境保护的工作氛围。(牵头部门：市生态环境局；配合部门：市政府办公室、聊城报业传媒集团、聊城市广播电视台)</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六）严格预警、约谈和追责。相关断面和县级以上饮用水水源地月度和季度目标达不到考核要求的，向相关县（市、区）、市属开发区发布预警通报，连续两次达不到考核要求且无改善趋势的，由市政府对相关县（市、区）人民政府、市属开发区管委会进行约谈。自然年度内被约谈两次的县（市、区）、市属开发区且对我市考核成绩造成严重影响的，提出问责建议。(牵头部门：市生态环境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24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2020-11-24T02:13:49Z</dcterms:created>
  <dc:creator>Administrator</dc:creator>
  <cp:lastModifiedBy>Administrator</cp:lastModifiedBy>
  <dcterms:modified xsi:type="dcterms:W3CDTF">2020-11-24T02:13:57Z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