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聊城市人民政府办公室</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关于印发聊城市中小企业“育苗扶壮”梯度培育计划三年行动方案</w:t>
      </w:r>
      <w:r>
        <w:rPr>
          <w:rFonts w:hint="eastAsia" w:ascii="华文中宋" w:hAnsi="华文中宋" w:eastAsia="华文中宋" w:cs="华文中宋"/>
          <w:b w:val="0"/>
          <w:bCs/>
          <w:color w:val="000000"/>
          <w:kern w:val="0"/>
          <w:sz w:val="40"/>
          <w:szCs w:val="40"/>
          <w:lang w:eastAsia="zh-CN"/>
        </w:rPr>
        <w:t>（</w:t>
      </w:r>
      <w:r>
        <w:rPr>
          <w:rFonts w:hint="eastAsia" w:ascii="华文中宋" w:hAnsi="华文中宋" w:eastAsia="华文中宋" w:cs="华文中宋"/>
          <w:b w:val="0"/>
          <w:bCs/>
          <w:color w:val="000000"/>
          <w:kern w:val="0"/>
          <w:sz w:val="40"/>
          <w:szCs w:val="40"/>
        </w:rPr>
        <w:t>2021－2023年</w:t>
      </w:r>
      <w:r>
        <w:rPr>
          <w:rFonts w:hint="eastAsia" w:ascii="华文中宋" w:hAnsi="华文中宋" w:eastAsia="华文中宋" w:cs="华文中宋"/>
          <w:b w:val="0"/>
          <w:bCs/>
          <w:color w:val="000000"/>
          <w:kern w:val="0"/>
          <w:sz w:val="40"/>
          <w:szCs w:val="40"/>
          <w:lang w:eastAsia="zh-CN"/>
        </w:rPr>
        <w:t>）</w:t>
      </w:r>
      <w:r>
        <w:rPr>
          <w:rFonts w:hint="eastAsia" w:ascii="华文中宋" w:hAnsi="华文中宋" w:eastAsia="华文中宋" w:cs="华文中宋"/>
          <w:b w:val="0"/>
          <w:bCs/>
          <w:color w:val="000000"/>
          <w:kern w:val="0"/>
          <w:sz w:val="40"/>
          <w:szCs w:val="40"/>
        </w:rPr>
        <w:t>的通知</w:t>
      </w:r>
    </w:p>
    <w:p>
      <w:pPr>
        <w:widowControl/>
        <w:jc w:val="center"/>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人民政府,市属开发区管委会,市政府有关部门、直属机构：</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《聊城市中小企业“育苗扶壮”梯度培育计划三年行动方案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2021－2023年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》已经市政府同意,现印发给你们,请结合实际, 认真贯彻落实。 </w:t>
      </w:r>
    </w:p>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widowControl/>
        <w:jc w:val="center"/>
        <w:rPr>
          <w:rFonts w:hint="eastAsia" w:ascii="仿宋_GB2312" w:hAnsi="仿宋_GB2312" w:eastAsia="仿宋_GB2312" w:cs="仿宋_GB2312"/>
          <w:color w:val="000000"/>
          <w:kern w:val="0"/>
          <w:sz w:val="32"/>
          <w:szCs w:val="32"/>
          <w:lang w:val="en-US" w:eastAsia="zh-CN"/>
        </w:rPr>
      </w:pP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聊城市人民政府办公室 </w:t>
      </w:r>
    </w:p>
    <w:p>
      <w:pPr>
        <w:widowControl/>
        <w:ind w:firstLine="5440" w:firstLineChars="17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2021年12月9日 </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此件公开发布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rPr>
          <w:rFonts w:hint="eastAsia" w:ascii="仿宋_GB2312" w:hAnsi="仿宋_GB2312" w:eastAsia="仿宋_GB2312" w:cs="仿宋_GB2312"/>
          <w:color w:val="000000"/>
          <w:kern w:val="0"/>
          <w:sz w:val="32"/>
          <w:szCs w:val="32"/>
        </w:rPr>
      </w:pPr>
    </w:p>
    <w:p>
      <w:pPr>
        <w:widowControl/>
        <w:rPr>
          <w:rFonts w:hint="eastAsia" w:ascii="仿宋_GB2312" w:hAnsi="仿宋_GB2312" w:eastAsia="仿宋_GB2312" w:cs="仿宋_GB2312"/>
          <w:b/>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仿宋_GB2312" w:hAnsi="仿宋_GB2312" w:eastAsia="仿宋_GB2312" w:cs="仿宋_GB2312"/>
          <w:color w:val="000000"/>
          <w:kern w:val="0"/>
          <w:sz w:val="32"/>
          <w:szCs w:val="32"/>
        </w:rPr>
      </w:pP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聊城市中小企业“育苗扶壮”梯度培育计划</w:t>
      </w:r>
    </w:p>
    <w:p>
      <w:pPr>
        <w:widowControl/>
        <w:jc w:val="center"/>
        <w:rPr>
          <w:rFonts w:hint="eastAsia" w:ascii="华文中宋" w:hAnsi="华文中宋" w:eastAsia="华文中宋" w:cs="华文中宋"/>
          <w:b w:val="0"/>
          <w:bCs/>
          <w:color w:val="000000"/>
          <w:kern w:val="0"/>
          <w:sz w:val="40"/>
          <w:szCs w:val="40"/>
          <w:lang w:eastAsia="zh-CN"/>
        </w:rPr>
      </w:pPr>
      <w:r>
        <w:rPr>
          <w:rFonts w:hint="eastAsia" w:ascii="华文中宋" w:hAnsi="华文中宋" w:eastAsia="华文中宋" w:cs="华文中宋"/>
          <w:b w:val="0"/>
          <w:bCs/>
          <w:color w:val="000000"/>
          <w:kern w:val="0"/>
          <w:sz w:val="40"/>
          <w:szCs w:val="40"/>
        </w:rPr>
        <w:t>三年行动方案</w:t>
      </w:r>
      <w:r>
        <w:rPr>
          <w:rFonts w:hint="eastAsia" w:ascii="华文中宋" w:hAnsi="华文中宋" w:eastAsia="华文中宋" w:cs="华文中宋"/>
          <w:b w:val="0"/>
          <w:bCs/>
          <w:color w:val="000000"/>
          <w:kern w:val="0"/>
          <w:sz w:val="40"/>
          <w:szCs w:val="40"/>
          <w:lang w:eastAsia="zh-CN"/>
        </w:rPr>
        <w:t>（</w:t>
      </w:r>
      <w:r>
        <w:rPr>
          <w:rFonts w:hint="eastAsia" w:ascii="华文中宋" w:hAnsi="华文中宋" w:eastAsia="华文中宋" w:cs="华文中宋"/>
          <w:b w:val="0"/>
          <w:bCs/>
          <w:color w:val="000000"/>
          <w:kern w:val="0"/>
          <w:sz w:val="40"/>
          <w:szCs w:val="40"/>
        </w:rPr>
        <w:t>2021－2023年</w:t>
      </w:r>
      <w:r>
        <w:rPr>
          <w:rFonts w:hint="eastAsia" w:ascii="华文中宋" w:hAnsi="华文中宋" w:eastAsia="华文中宋" w:cs="华文中宋"/>
          <w:b w:val="0"/>
          <w:bCs/>
          <w:color w:val="000000"/>
          <w:kern w:val="0"/>
          <w:sz w:val="40"/>
          <w:szCs w:val="40"/>
          <w:lang w:eastAsia="zh-CN"/>
        </w:rPr>
        <w:t>）</w:t>
      </w:r>
    </w:p>
    <w:p>
      <w:pPr>
        <w:widowControl/>
        <w:jc w:val="center"/>
        <w:rPr>
          <w:rFonts w:hint="eastAsia" w:ascii="华文中宋" w:hAnsi="华文中宋" w:eastAsia="华文中宋" w:cs="华文中宋"/>
          <w:b w:val="0"/>
          <w:bCs/>
          <w:color w:val="000000"/>
          <w:kern w:val="0"/>
          <w:sz w:val="40"/>
          <w:szCs w:val="40"/>
        </w:rPr>
      </w:pP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为全面贯彻落实党中央、国务院支持中小企业发展的重大决策部署,切实加大中小企业培育力度,促进中小企业健康高质量发展,根据《山东省民营经济高质量发展三年行动计划</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2020－2022年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》《山东省民营经济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中小企业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“十四五”发展规划》等文件精神,结合我市实际,制定本行动方案。</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一、总体要求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习近平新时代中国特色社会主义思想为指导,全面贯彻落实党的十九大和十九届二中、三中、四中、五中、六中全会精神,积极保护和激发市场主体活力,以提高企业自主创新能力和市场竞争力为核心,坚持成长性与专业化“双轮”驱动,加强政策引导和分类精准服务,秉承“非请勿扰、有求必应”原则,大力实施中小企业“育苗扶壮”梯度培育计划,引导中小企业走专精特新发展之路,健全“小升规”、专精特新、瞪羚、单项冠军、独角兽企业的梯度培育体系,培育更多优质中小企业,促进中小企业高质量发展。</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二、主要目标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从2021－2023年,利用三年时间,进一步完善支持中小企业发展的政策体系和服务体系,在全市范围内筛选1000家左右中小企业,在企业管理、生产经营、改造提升等方面进行精准帮扶,建立 “小升规”、专精特新、瞪羚、单项冠军、独角兽企业等分类培育机制,帮助企业更新观念、强本固基、转型升级、激发活力,形成大中小企业融通发展、高质量发展的格局。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培育一批优质中小企业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力争利用３年时间,新培育市级专精特新中小企业150家、省级专精特新中小企业80家、国家级专精特新“小巨人”企业</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 xml:space="preserve">家、瞪羚企业20家、单项冠军企业20家,独角兽企业实现“零”的突破。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培育“千名数字专员”。利用</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 xml:space="preserve">年时间,为企业培育1000名左右数字专员,整体提升我市中小企业数字化意识和应用水平。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培育“千名管理标兵”。利用３年时间,为中小企业培育 1000名左右涵盖厂区、车间、生产线的现代管理人员,整体提升我市中小企业的管理水平。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建立“千企在线展馆”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每年筛选200家左右企业,利用 “３DVR”技术,打造集展示、销售、招商、就业等功能为一体,能时时更新的企业线上数字展馆。</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三、重点任务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引进国内知名专业服务商,组建“服务商联盟”,设立“服务资源池”,择优选出“解困”“补短板”各行业专家,组成１０个专家服务队。专家服务队入驻筛选的1000家中小企业调研指导,免费上门提供精准服务,重点实施“八大”帮扶提升行动。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实施专精特新提升行动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支持中小企业专注细分市场领域,围绕重点产业和重大项目建设,为大企业、大项目提供零部件、 元器件、设备和服务等协作配套,提高专业化生产、服务和协作配套能力。引导中小企业发扬工匠精神,开展生产精细化、管理精细化、服务精细化改造。突出特色化优势,鼓励中小企业利用特色资源,弘扬传统技艺和地域文化,研制生产具有地方或企业特色的产品。加快新颖化探索,支持中小企业开展设计创新、产品创新和商业模式创新,形成新的竞争优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实施中小企业培优提升行动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加强对个体工商户成长为企业的辅导和支持。完善中小企业培优扶强政策措施,统筹推动 “小升规”、专精特新、瞪羚、单项冠军、独角兽企业梯度培育工作。建立企业基础信息库,遴选一批有发展潜力的企业作为重点培育对象,组织开展“一对一”精准对接服务和辅导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鼓励小微企业通过企业兼并和股权转让等方式做大为规上企业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加大引进专精特新、瞪羚、单项冠军、独角兽等优质中小企业力度,积极承接东部沿海优质中小企业和项目向我市转移。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市工业和信息化局、市市场监管局负责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实施服务企业提升行动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进一步加强全市中小企业服务平台建设,完善“１＋１０＋N”中小企业公共服务平台网络体系,实现服务资源分级整合和线上线下联动,推动服务产品、流程、模式、质效、品牌和价值创新,持续提升服务能力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筛选的服务企业细分行业、细分领域,围绕生产经营全链条,从生产、销售、管理、文化建设等环节存在的痛点、难点、短板入手,以现场管理、精益生产、品牌营销、人力资源、财税规划、政策解读及法律服务等服务项目为抓手,“对症下药”“标本兼治”,促进企业“肌体健康”“茁壮成长”。吸引外地优质服务资源充实“服务商联盟”,不断提升服务队的业务素质和能力。培养本土优质中小企业服务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实施企业融资能力提升行动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鼓励各类金融机构开发适合中小企业特点的金融产品和服务,鼓励服务机构组织服务队上门精准指导,辅助企业跨入融资门槛,并深化金融辅导工作,持续推动金融辅导企业扩面提质,让企业舒心、银行放心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金融机构开展基于企业信用状况的专项信贷融资支持。用好中小企业融资担保业务奖补政策,鼓励各类担保机构为中小企业融资提供信用担保。完善政策性融资担保体系,推动政府性融资担保机构与省投融资担保集团开展股权、业务合作,落实风险分担机制。聚焦关键产业链优选核心企业,引导核心企业通过确认应付账款、开具商业汇票、签发供应链票据等方式推广供应链金融,降低链上中小企业融资成本</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帮助中小企业对接资本市场,加强上市辅导和培育,鼓励中小企业发债融资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鼓励各地用好应急转贷资金,帮助企业缓解资金周转困难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人行聊城市中心支行、市地方金融监管局、市财政局、市工业和信息化局负责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实施创新能力提升行动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发挥中小企业创新主体作用, 鼓励中小企业加大研发投入和技术改造投资力度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支持中小企业建立技术创新中心、工业设计中心、工程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技术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研究中心、企业技术中心、制造业创新中心等研发机构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鼓励大中院校、科研院所、大企业共享研发仪器设备等科技资源,支持以共建研发基地、创新平台、协同创新中心等方式,提高中小企业原始创新、集成创新和引进消化吸收再创新能力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鼓励中小企业参加产业技术创新联盟,建立联合开发、优势互补、成果共享、风险共担的产学研用合作机制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支持中小企业参与技术标准的制定,组织开展促进产学研合作和项目对接的活动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深入推进中小企业知识产权战略,探索建立专利运用协同体系,鼓励企业员工和工程技术人员发明创造,提高专利质量和创新水平。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市科技局、市发展改革委、市工业和信息化局、市市场监管局负责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实施管理提升“百千万”行动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推动中小企业建立现代企业管理制度,实施公司制改造,规范公司治理结构,依法经营,诚实守信,节能环保,安全生产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组织开展管理对标活动,以国际、国内先进企业为标杆,查问题、找差距、添措施、补短板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组织专家服务队对百家“小升规”、专精特新、瞪羚、单项冠军等企业进行全面诊断并实施管理提升综合改造工程,对千家规上企业进行形式多样、主题明确的培训和诊断,指导企业制定并实施管理提升方案。发挥各级中小企业公共服务平台作用,为万家中小企业提供管理咨询服务,力争全市中小企业经营管理总体水平实现大幅提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实施信息化水平提升行动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实施工业互联网创新发展行动,推进云计算、大数据、工业互联网、5G、３DVR、人工智能等新一代信息技术在我市中小企业融合应用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开展中小企业“上云”专项行动,组织信息化服务供应商为制造业中小企业提供业务“云端” 化、生产智能化解决方案,提高企业在研发设计、经营管理、生产过程、市场营销等方面的信息化应用水平,提高管理水平和经营效率。落实«山东省民营经济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中小企业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“十四五”发展规划»中的“万名数字专员进企业”活动,利用３年时间,邀请企业数字化专家、头部科技企业精英等专业人才,在各县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、市属开发区巡回培训,引导企业转变思路,提高数字化、智能化意识。培训1000名左右企业数字专员,并引导数字专员成长为推动企业数字化建设的有生力量。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实施产业生态优化提升行动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引导中小企业不断加大包括清洁资源能源的开发、清洁生产工艺的创新、污染治理技术的创新、废物资源化等技术创新力度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在推进清洁生产过程中大力发展低碳环保产业,寻找新的经济增长点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推动中小微企业向工业园区、聚集区聚集,围绕优势产业,横向扩链、纵向延链,建成一批高科技、高质量、高速度、高效益、低污染、生态化的产业园区,培育发展中小企业特色产业集群,促进大中小企业融合融通发展。加强中小企业法治意识、诚信意识、安全意识、绿色意识的引导和培训。鼓励中小企业积极参与社会建设,主动承担社会责任,放大企业发展红利,引导中小企业积极参与优秀企业家评选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四、保障措施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强化组织协调,深化政策宣贯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市工业和信息化局要发挥市促进非公有制经济发展工作领导小组办公室的协调作用,牵头做好中小企业“育苗扶壮”梯度培育计划实施工作,建立部门联动机制,统筹推进中小企业培育工作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促进非公有制经济发展工作领导小组成员单位根据职责分工,指定联系人员,形成统筹推进、部门联动的工作机制。各部门应充分利用网络、电视、广播、报纸、新媒体等载体,多渠道、多形式、全方位进行惠企政策宣传解读,推进惠企政策应享尽享、不漏一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市县两级工业和信息化部门要抽调工作人员到各专家服务队任“服务专员”,负责具体联络和工作推进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市发展改革委、市科技局、市财政局、市市场监管局、市统计局、市地方金融监管局、市税务局、市人力资源社会保障局、市行政审批局、市自然资源和规划局、市商务投资促进局、人行聊城市中心支行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w:t>
      </w:r>
      <w:bookmarkStart w:id="0" w:name="_GoBack"/>
      <w:bookmarkEnd w:id="0"/>
      <w:r>
        <w:rPr>
          <w:rFonts w:hint="eastAsia" w:ascii="仿宋_GB2312" w:hAnsi="仿宋_GB2312" w:eastAsia="仿宋_GB2312" w:cs="仿宋_GB2312"/>
          <w:color w:val="000000"/>
          <w:kern w:val="0"/>
          <w:sz w:val="32"/>
          <w:szCs w:val="32"/>
        </w:rPr>
        <w:t>化经费保障,完善奖励机制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把“育苗扶壮”梯度培育计划三年行动纳入全市经济强基固本工作范畴,市财政局结合地方财力,每年安排专项资金对成效显著的服务项目,依法依规进行奖励。</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市财政局、市工业和信息化局负责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强化典型宣传,坚持示范引领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对在“育苗扶壮”梯度培育计划三年行动实施过程中涌现出的好经验、好做法、好典型,加强在市级及以上媒体的宣传报道,营造全市“爱企”“护企”“帮企”的浓厚氛围。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强化动态监测,做好评价总结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立千企服务成果数据库,对服务过程实施动态管理,跟踪掌握企业提升情况,协调解决工作中的困难和问题,及时补短板、强弱项,提升服务质量和水平。市工业和信息化局每年组织年度工作成效评估,三年行动结束后形成总体评价和总结,并适时对社会予以公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市工业和信息化局负责</w:t>
      </w:r>
      <w:r>
        <w:rPr>
          <w:rFonts w:hint="eastAsia" w:ascii="仿宋_GB2312" w:hAnsi="仿宋_GB2312" w:eastAsia="仿宋_GB2312" w:cs="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4520"/>
    <w:rsid w:val="001A614F"/>
    <w:rsid w:val="004E4520"/>
    <w:rsid w:val="00C54C96"/>
    <w:rsid w:val="00CC32F3"/>
    <w:rsid w:val="055511E1"/>
    <w:rsid w:val="384952D3"/>
    <w:rsid w:val="48DB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659</Words>
  <Characters>3762</Characters>
  <Lines>31</Lines>
  <Paragraphs>8</Paragraphs>
  <TotalTime>39</TotalTime>
  <ScaleCrop>false</ScaleCrop>
  <LinksUpToDate>false</LinksUpToDate>
  <CharactersWithSpaces>4413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2021-12-15T07:06:00Z</dcterms:created>
  <dc:creator>Administrator</dc:creator>
  <cp:lastModifiedBy>Luminary</cp:lastModifiedBy>
  <dcterms:modified xsi:type="dcterms:W3CDTF">2021-12-16T10:16:17Z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8A2425996FBE412293E585796339343C</vt:lpwstr>
  </property>
</Properties>
</file>