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40" w:lineRule="exact"/>
        <w:jc w:val="center"/>
        <w:textAlignment w:val="auto"/>
        <w:rPr>
          <w:rFonts w:hint="eastAsia" w:ascii="华文中宋" w:hAnsi="华文中宋" w:eastAsia="华文中宋" w:cstheme="minorBidi"/>
          <w:b w:val="0"/>
          <w:bCs w:val="0"/>
          <w:kern w:val="2"/>
          <w:sz w:val="44"/>
          <w:szCs w:val="44"/>
          <w:lang w:eastAsia="zh-CN"/>
        </w:rPr>
      </w:pPr>
      <w:r>
        <w:rPr>
          <w:rFonts w:ascii="华文中宋" w:hAnsi="华文中宋" w:eastAsia="华文中宋" w:cstheme="minorBidi"/>
          <w:b w:val="0"/>
          <w:bCs w:val="0"/>
          <w:kern w:val="2"/>
          <w:sz w:val="44"/>
          <w:szCs w:val="44"/>
        </w:rPr>
        <w:t>聊城市人民政府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40" w:lineRule="exact"/>
        <w:ind w:left="0" w:right="0" w:firstLine="645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华文中宋" w:hAnsi="华文中宋" w:eastAsia="华文中宋" w:cstheme="minorBidi"/>
          <w:b w:val="0"/>
          <w:bCs w:val="0"/>
          <w:kern w:val="2"/>
          <w:sz w:val="44"/>
          <w:szCs w:val="44"/>
        </w:rPr>
        <w:t>2022年政府信息公开工作年度报告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40" w:lineRule="exact"/>
        <w:ind w:left="0" w:right="0" w:firstLine="645"/>
        <w:textAlignment w:val="auto"/>
        <w:rPr>
          <w:rFonts w:ascii="仿宋" w:hAnsi="仿宋" w:eastAsia="仿宋" w:cs="仿宋"/>
          <w:sz w:val="31"/>
          <w:szCs w:val="3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40" w:lineRule="exact"/>
        <w:ind w:left="0" w:right="0" w:firstLine="645"/>
        <w:textAlignment w:val="auto"/>
      </w:pPr>
      <w:r>
        <w:rPr>
          <w:rFonts w:ascii="仿宋" w:hAnsi="仿宋" w:eastAsia="仿宋" w:cs="仿宋"/>
          <w:sz w:val="31"/>
          <w:szCs w:val="31"/>
        </w:rPr>
        <w:t>根据《中华人民共和国政府信息公开条例》（国务院令第</w:t>
      </w:r>
      <w:r>
        <w:rPr>
          <w:rFonts w:ascii="仿宋_GB2312" w:eastAsia="仿宋_GB2312" w:cs="仿宋_GB2312"/>
          <w:sz w:val="31"/>
          <w:szCs w:val="31"/>
        </w:rPr>
        <w:t>711</w:t>
      </w:r>
      <w:r>
        <w:rPr>
          <w:rFonts w:hint="default" w:ascii="仿宋" w:hAnsi="仿宋" w:eastAsia="仿宋" w:cs="仿宋"/>
          <w:sz w:val="31"/>
          <w:szCs w:val="31"/>
        </w:rPr>
        <w:t>号，以下简称《条例》）、《国务院办公厅政府信息与政务公开办公室关于印发</w:t>
      </w:r>
      <w:r>
        <w:rPr>
          <w:rFonts w:hint="default" w:ascii="仿宋_GB2312" w:eastAsia="仿宋_GB2312" w:cs="仿宋_GB2312"/>
          <w:sz w:val="31"/>
          <w:szCs w:val="31"/>
        </w:rPr>
        <w:t>&lt;</w:t>
      </w:r>
      <w:r>
        <w:rPr>
          <w:rFonts w:hint="default" w:ascii="仿宋" w:hAnsi="仿宋" w:eastAsia="仿宋" w:cs="仿宋"/>
          <w:sz w:val="31"/>
          <w:szCs w:val="31"/>
        </w:rPr>
        <w:t>中华人民共和国政府信息公开工作年度报告格式</w:t>
      </w:r>
      <w:r>
        <w:rPr>
          <w:rFonts w:hint="default" w:ascii="仿宋_GB2312" w:eastAsia="仿宋_GB2312" w:cs="仿宋_GB2312"/>
          <w:sz w:val="31"/>
          <w:szCs w:val="31"/>
        </w:rPr>
        <w:t>&gt;</w:t>
      </w:r>
      <w:r>
        <w:rPr>
          <w:rFonts w:hint="default" w:ascii="仿宋" w:hAnsi="仿宋" w:eastAsia="仿宋" w:cs="仿宋"/>
          <w:sz w:val="31"/>
          <w:szCs w:val="31"/>
        </w:rPr>
        <w:t>的通知》</w:t>
      </w:r>
      <w:r>
        <w:rPr>
          <w:rFonts w:hint="default" w:ascii="仿宋_GB2312" w:eastAsia="仿宋_GB2312" w:cs="仿宋_GB2312"/>
          <w:sz w:val="31"/>
          <w:szCs w:val="31"/>
        </w:rPr>
        <w:t>(</w:t>
      </w:r>
      <w:r>
        <w:rPr>
          <w:rFonts w:hint="default" w:ascii="仿宋" w:hAnsi="仿宋" w:eastAsia="仿宋" w:cs="仿宋"/>
          <w:sz w:val="31"/>
          <w:szCs w:val="31"/>
        </w:rPr>
        <w:t>国办公开办函〔</w:t>
      </w:r>
      <w:r>
        <w:rPr>
          <w:rFonts w:hint="default" w:ascii="仿宋_GB2312" w:eastAsia="仿宋_GB2312" w:cs="仿宋_GB2312"/>
          <w:sz w:val="31"/>
          <w:szCs w:val="31"/>
        </w:rPr>
        <w:t>2021</w:t>
      </w:r>
      <w:r>
        <w:rPr>
          <w:rFonts w:hint="default" w:ascii="仿宋" w:hAnsi="仿宋" w:eastAsia="仿宋" w:cs="仿宋"/>
          <w:sz w:val="31"/>
          <w:szCs w:val="31"/>
        </w:rPr>
        <w:t>〕</w:t>
      </w:r>
      <w:r>
        <w:rPr>
          <w:rFonts w:hint="default" w:ascii="仿宋_GB2312" w:eastAsia="仿宋_GB2312" w:cs="仿宋_GB2312"/>
          <w:sz w:val="31"/>
          <w:szCs w:val="31"/>
        </w:rPr>
        <w:t>30</w:t>
      </w:r>
      <w:r>
        <w:rPr>
          <w:rFonts w:hint="default" w:ascii="仿宋" w:hAnsi="仿宋" w:eastAsia="仿宋" w:cs="仿宋"/>
          <w:sz w:val="31"/>
          <w:szCs w:val="31"/>
        </w:rPr>
        <w:t>号</w:t>
      </w:r>
      <w:r>
        <w:rPr>
          <w:rFonts w:hint="default" w:ascii="仿宋_GB2312" w:eastAsia="仿宋_GB2312" w:cs="仿宋_GB2312"/>
          <w:sz w:val="31"/>
          <w:szCs w:val="31"/>
        </w:rPr>
        <w:t>)</w:t>
      </w:r>
      <w:r>
        <w:rPr>
          <w:rFonts w:hint="default" w:ascii="仿宋" w:hAnsi="仿宋" w:eastAsia="仿宋" w:cs="仿宋"/>
          <w:sz w:val="31"/>
          <w:szCs w:val="31"/>
        </w:rPr>
        <w:t>要求，结合</w:t>
      </w:r>
      <w:r>
        <w:rPr>
          <w:rFonts w:hint="default" w:ascii="仿宋_GB2312" w:hAnsi="仿宋" w:eastAsia="仿宋_GB2312" w:cs="仿宋_GB2312"/>
          <w:sz w:val="31"/>
          <w:szCs w:val="31"/>
        </w:rPr>
        <w:t>202</w:t>
      </w:r>
      <w:r>
        <w:rPr>
          <w:rFonts w:hint="eastAsia" w:ascii="仿宋_GB2312" w:hAnsi="仿宋" w:eastAsia="仿宋_GB2312" w:cs="仿宋_GB2312"/>
          <w:sz w:val="31"/>
          <w:szCs w:val="31"/>
          <w:lang w:val="en-US" w:eastAsia="zh-CN"/>
        </w:rPr>
        <w:t>2</w:t>
      </w:r>
      <w:r>
        <w:rPr>
          <w:rFonts w:hint="default" w:ascii="仿宋" w:hAnsi="仿宋" w:eastAsia="仿宋" w:cs="仿宋"/>
          <w:sz w:val="31"/>
          <w:szCs w:val="31"/>
        </w:rPr>
        <w:t>年聊城市人民政府工作实际，编制发布本报告。全文内容包括总体情况、主动公开政府信息情况、收到和处理政府信息公开申请情况、因政府信息公开工作被申请行政复议和提起行政诉讼情况，存在的主要问题及改进情况及其他需报告的事项。本年度报告中所列数据统计期限从</w:t>
      </w:r>
      <w:r>
        <w:rPr>
          <w:rFonts w:hint="default" w:ascii="仿宋_GB2312" w:eastAsia="仿宋_GB2312" w:cs="仿宋_GB2312"/>
          <w:sz w:val="31"/>
          <w:szCs w:val="31"/>
        </w:rPr>
        <w:t>202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2</w:t>
      </w:r>
      <w:r>
        <w:rPr>
          <w:rFonts w:hint="default" w:ascii="仿宋" w:hAnsi="仿宋" w:eastAsia="仿宋" w:cs="仿宋"/>
          <w:sz w:val="31"/>
          <w:szCs w:val="31"/>
        </w:rPr>
        <w:t>年</w:t>
      </w:r>
      <w:r>
        <w:rPr>
          <w:rFonts w:hint="default" w:ascii="仿宋_GB2312" w:eastAsia="仿宋_GB2312" w:cs="仿宋_GB2312"/>
          <w:sz w:val="31"/>
          <w:szCs w:val="31"/>
        </w:rPr>
        <w:t>1</w:t>
      </w:r>
      <w:r>
        <w:rPr>
          <w:rFonts w:hint="default" w:ascii="仿宋" w:hAnsi="仿宋" w:eastAsia="仿宋" w:cs="仿宋"/>
          <w:sz w:val="31"/>
          <w:szCs w:val="31"/>
        </w:rPr>
        <w:t>月</w:t>
      </w:r>
      <w:r>
        <w:rPr>
          <w:rFonts w:hint="default" w:ascii="仿宋_GB2312" w:eastAsia="仿宋_GB2312" w:cs="仿宋_GB2312"/>
          <w:sz w:val="31"/>
          <w:szCs w:val="31"/>
        </w:rPr>
        <w:t>1</w:t>
      </w:r>
      <w:r>
        <w:rPr>
          <w:rFonts w:hint="default" w:ascii="仿宋" w:hAnsi="仿宋" w:eastAsia="仿宋" w:cs="仿宋"/>
          <w:sz w:val="31"/>
          <w:szCs w:val="31"/>
        </w:rPr>
        <w:t>日至</w:t>
      </w:r>
      <w:r>
        <w:rPr>
          <w:rFonts w:hint="default" w:ascii="仿宋_GB2312" w:eastAsia="仿宋_GB2312" w:cs="仿宋_GB2312"/>
          <w:sz w:val="31"/>
          <w:szCs w:val="31"/>
        </w:rPr>
        <w:t>12</w:t>
      </w:r>
      <w:r>
        <w:rPr>
          <w:rFonts w:hint="default" w:ascii="仿宋" w:hAnsi="仿宋" w:eastAsia="仿宋" w:cs="仿宋"/>
          <w:sz w:val="31"/>
          <w:szCs w:val="31"/>
        </w:rPr>
        <w:t>月</w:t>
      </w:r>
      <w:r>
        <w:rPr>
          <w:rFonts w:hint="default" w:ascii="仿宋_GB2312" w:eastAsia="仿宋_GB2312" w:cs="仿宋_GB2312"/>
          <w:sz w:val="31"/>
          <w:szCs w:val="31"/>
        </w:rPr>
        <w:t>31</w:t>
      </w:r>
      <w:r>
        <w:rPr>
          <w:rFonts w:hint="default" w:ascii="仿宋" w:hAnsi="仿宋" w:eastAsia="仿宋" w:cs="仿宋"/>
          <w:sz w:val="31"/>
          <w:szCs w:val="31"/>
        </w:rPr>
        <w:t>日止。本年度报告电子版可从聊城市人民政府门户网站（</w:t>
      </w:r>
      <w:r>
        <w:rPr>
          <w:rFonts w:hint="default" w:ascii="仿宋_GB2312" w:eastAsia="仿宋_GB2312" w:cs="仿宋_GB2312"/>
          <w:sz w:val="31"/>
          <w:szCs w:val="31"/>
        </w:rPr>
        <w:t>http://www.liaocheng.gov.cn</w:t>
      </w:r>
      <w:r>
        <w:rPr>
          <w:rFonts w:hint="default" w:ascii="仿宋" w:hAnsi="仿宋" w:eastAsia="仿宋" w:cs="仿宋"/>
          <w:sz w:val="31"/>
          <w:szCs w:val="31"/>
        </w:rPr>
        <w:t>）查阅或下载。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645" w:lineRule="atLeast"/>
        <w:ind w:left="0" w:right="0" w:firstLine="645"/>
      </w:pPr>
      <w:r>
        <w:rPr>
          <w:rFonts w:ascii="黑体" w:hAnsi="宋体" w:eastAsia="黑体" w:cs="黑体"/>
          <w:sz w:val="31"/>
          <w:szCs w:val="31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，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lang w:val="en-US" w:eastAsia="zh-CN"/>
        </w:rPr>
        <w:t>聊城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人民政府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以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公开聊亮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品牌为抓手，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扎实做好主动公开、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不断优化公开平台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拓展解读渠道、深化政民互动、全市政务公开标准化规范化水平不断提升，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公开聊亮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品牌效应持续彰显。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/>
        <w:ind w:left="0" w:right="0" w:firstLine="645"/>
        <w:rPr>
          <w:rFonts w:hint="default" w:ascii="仿宋_GB2312" w:eastAsia="仿宋_GB2312" w:cs="仿宋_GB2312"/>
          <w:sz w:val="31"/>
          <w:szCs w:val="31"/>
        </w:rPr>
      </w:pPr>
      <w:r>
        <w:rPr>
          <w:rFonts w:hint="default" w:ascii="仿宋_GB2312" w:eastAsia="仿宋_GB2312" w:cs="仿宋_GB2312"/>
          <w:sz w:val="31"/>
          <w:szCs w:val="31"/>
        </w:rPr>
        <w:t>主动公开。202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2</w:t>
      </w:r>
      <w:r>
        <w:rPr>
          <w:rFonts w:hint="default" w:ascii="仿宋_GB2312" w:eastAsia="仿宋_GB2312" w:cs="仿宋_GB2312"/>
          <w:sz w:val="31"/>
          <w:szCs w:val="31"/>
        </w:rPr>
        <w:t>年主动公开市政府和市政府办公室政策文件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64</w:t>
      </w:r>
      <w:r>
        <w:rPr>
          <w:rFonts w:hint="default" w:ascii="仿宋_GB2312" w:eastAsia="仿宋_GB2312" w:cs="仿宋_GB2312"/>
          <w:sz w:val="31"/>
          <w:szCs w:val="31"/>
        </w:rPr>
        <w:t>件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，配发解读材料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230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件，其中，主要负责人带头解读政策28件，多角度解读政策29件；</w:t>
      </w:r>
      <w:r>
        <w:rPr>
          <w:rFonts w:hint="default" w:ascii="仿宋_GB2312" w:eastAsia="仿宋_GB2312" w:cs="仿宋_GB2312"/>
          <w:sz w:val="31"/>
          <w:szCs w:val="31"/>
        </w:rPr>
        <w:t>公开了市政府常务会议3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0</w:t>
      </w:r>
      <w:r>
        <w:rPr>
          <w:rFonts w:hint="default" w:ascii="仿宋_GB2312" w:eastAsia="仿宋_GB2312" w:cs="仿宋_GB2312"/>
          <w:sz w:val="31"/>
          <w:szCs w:val="31"/>
        </w:rPr>
        <w:t>次，全部配发了视频和图文解读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，对部分重要议题进行了单独解读；</w:t>
      </w:r>
      <w:r>
        <w:rPr>
          <w:rFonts w:hint="default" w:ascii="仿宋_GB2312" w:eastAsia="仿宋_GB2312" w:cs="仿宋_GB2312"/>
          <w:sz w:val="31"/>
          <w:szCs w:val="31"/>
        </w:rPr>
        <w:t>编辑出版《聊城市人民政府公报》1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2</w:t>
      </w:r>
      <w:r>
        <w:rPr>
          <w:rFonts w:hint="default" w:ascii="仿宋_GB2312" w:eastAsia="仿宋_GB2312" w:cs="仿宋_GB2312"/>
          <w:sz w:val="31"/>
          <w:szCs w:val="31"/>
        </w:rPr>
        <w:t>期，实现了公报电子化。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rFonts w:hint="default" w:ascii="仿宋_GB2312" w:eastAsia="仿宋_GB2312" w:cs="仿宋_GB2312"/>
          <w:sz w:val="31"/>
          <w:szCs w:val="31"/>
        </w:rPr>
      </w:pPr>
      <w:r>
        <w:rPr>
          <w:rFonts w:hint="default" w:ascii="仿宋_GB2312" w:eastAsia="仿宋_GB2312" w:cs="仿宋_GB2312"/>
          <w:sz w:val="31"/>
          <w:szCs w:val="31"/>
          <w:highlight w:val="none"/>
          <w:shd w:val="clear"/>
        </w:rPr>
        <w:t>（二）</w:t>
      </w:r>
      <w:r>
        <w:rPr>
          <w:rFonts w:hint="default" w:ascii="仿宋_GB2312" w:eastAsia="仿宋_GB2312" w:cs="仿宋_GB2312"/>
          <w:sz w:val="31"/>
          <w:szCs w:val="31"/>
        </w:rPr>
        <w:t>依申请公开。2022年，聊城市新收到及上年结转信息公开申请1265件，比上年增加12.8%；已答复1253件，结转下一年度12件。在所有已答复的申请件中，予以公开622件，占49.6%，部分公开141件，占11.3%；不予公开79件，占6.3%；无法提供294件，占23.5%;不予处理61件，占4.8%;其他处理56件，占4.5%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rFonts w:hint="default" w:ascii="仿宋_GB2312" w:eastAsia="仿宋_GB2312" w:cs="仿宋_GB2312"/>
          <w:sz w:val="31"/>
          <w:szCs w:val="31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</w:rPr>
        <w:t>（三）政府信息管理。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进一步规范了政府规章和行政规范性文件发布管理</w:t>
      </w:r>
      <w:r>
        <w:rPr>
          <w:rFonts w:hint="default" w:ascii="仿宋_GB2312" w:eastAsia="仿宋_GB2312" w:cs="仿宋_GB2312"/>
          <w:sz w:val="31"/>
          <w:szCs w:val="31"/>
        </w:rPr>
        <w:t>。本年度制发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规章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4件，废止2件，现行有效规章13件；制发</w:t>
      </w:r>
      <w:r>
        <w:rPr>
          <w:rFonts w:hint="default" w:ascii="仿宋_GB2312" w:eastAsia="仿宋_GB2312" w:cs="仿宋_GB2312"/>
          <w:sz w:val="31"/>
          <w:szCs w:val="31"/>
        </w:rPr>
        <w:t>规范性文件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93</w:t>
      </w:r>
      <w:r>
        <w:rPr>
          <w:rFonts w:hint="default" w:ascii="仿宋_GB2312" w:eastAsia="仿宋_GB2312" w:cs="仿宋_GB2312"/>
          <w:sz w:val="31"/>
          <w:szCs w:val="31"/>
        </w:rPr>
        <w:t>件，废止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60</w:t>
      </w:r>
      <w:r>
        <w:rPr>
          <w:rFonts w:hint="default" w:ascii="仿宋_GB2312" w:eastAsia="仿宋_GB2312" w:cs="仿宋_GB2312"/>
          <w:sz w:val="31"/>
          <w:szCs w:val="31"/>
        </w:rPr>
        <w:t>件，现行有效规范性文件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312</w:t>
      </w:r>
      <w:r>
        <w:rPr>
          <w:rFonts w:hint="default" w:ascii="仿宋_GB2312" w:eastAsia="仿宋_GB2312" w:cs="仿宋_GB2312"/>
          <w:sz w:val="31"/>
          <w:szCs w:val="31"/>
        </w:rPr>
        <w:t>件。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spacing w:before="75" w:beforeAutospacing="0" w:after="75" w:afterAutospacing="0"/>
        <w:ind w:left="-15" w:leftChars="0" w:right="0" w:firstLine="645" w:firstLineChars="0"/>
        <w:rPr>
          <w:rFonts w:hint="default" w:ascii="仿宋_GB2312" w:eastAsia="仿宋_GB2312" w:cs="仿宋_GB2312"/>
          <w:sz w:val="31"/>
          <w:szCs w:val="31"/>
        </w:rPr>
      </w:pPr>
      <w:r>
        <w:rPr>
          <w:rFonts w:hint="default" w:ascii="仿宋_GB2312" w:eastAsia="仿宋_GB2312" w:cs="仿宋_GB2312"/>
          <w:sz w:val="31"/>
          <w:szCs w:val="31"/>
        </w:rPr>
        <w:t>政府信息公开平台建设。持续优化政府网站建设，新建了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智能政策问答平台</w:t>
      </w:r>
      <w:r>
        <w:rPr>
          <w:rFonts w:hint="default" w:ascii="仿宋_GB2312" w:eastAsia="仿宋_GB2312" w:cs="仿宋_GB2312"/>
          <w:sz w:val="31"/>
          <w:szCs w:val="31"/>
        </w:rPr>
        <w:t>、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聊城市媒体库</w:t>
      </w:r>
      <w:r>
        <w:rPr>
          <w:rFonts w:hint="default" w:ascii="仿宋_GB2312" w:eastAsia="仿宋_GB2312" w:cs="仿宋_GB2312"/>
          <w:sz w:val="31"/>
          <w:szCs w:val="31"/>
        </w:rPr>
        <w:t>、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公共企事业单位</w:t>
      </w:r>
      <w:r>
        <w:rPr>
          <w:rFonts w:hint="default" w:ascii="仿宋_GB2312" w:eastAsia="仿宋_GB2312" w:cs="仿宋_GB2312"/>
          <w:sz w:val="31"/>
          <w:szCs w:val="31"/>
        </w:rPr>
        <w:t>、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惠企政策、扩大有效投资、行政执法公示</w:t>
      </w:r>
      <w:r>
        <w:rPr>
          <w:rFonts w:hint="default" w:ascii="仿宋_GB2312" w:eastAsia="仿宋_GB2312" w:cs="仿宋_GB2312"/>
          <w:sz w:val="31"/>
          <w:szCs w:val="31"/>
        </w:rPr>
        <w:t>等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6</w:t>
      </w:r>
      <w:r>
        <w:rPr>
          <w:rFonts w:hint="default" w:ascii="仿宋_GB2312" w:eastAsia="仿宋_GB2312" w:cs="仿宋_GB2312"/>
          <w:sz w:val="31"/>
          <w:szCs w:val="31"/>
        </w:rPr>
        <w:t>个专题；升级了政策文件集中发布平台，增加了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部门文件展示</w:t>
      </w:r>
      <w:r>
        <w:rPr>
          <w:rFonts w:hint="default" w:ascii="仿宋_GB2312" w:eastAsia="仿宋_GB2312" w:cs="仿宋_GB2312"/>
          <w:sz w:val="31"/>
          <w:szCs w:val="31"/>
        </w:rPr>
        <w:t>功能，便于查询；优化了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双随机一公开、优化营商环境等</w:t>
      </w:r>
      <w:r>
        <w:rPr>
          <w:rFonts w:hint="default" w:ascii="仿宋_GB2312" w:eastAsia="仿宋_GB2312" w:cs="仿宋_GB2312"/>
          <w:sz w:val="31"/>
          <w:szCs w:val="31"/>
        </w:rPr>
        <w:t>专题，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使展示效果更加精简</w:t>
      </w:r>
      <w:r>
        <w:rPr>
          <w:rFonts w:hint="default" w:ascii="仿宋_GB2312" w:eastAsia="仿宋_GB2312" w:cs="仿宋_GB2312"/>
          <w:sz w:val="31"/>
          <w:szCs w:val="31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645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  <w:highlight w:val="none"/>
        </w:rPr>
        <w:t>（五）</w:t>
      </w:r>
      <w:r>
        <w:rPr>
          <w:rFonts w:hint="default" w:ascii="仿宋_GB2312" w:eastAsia="仿宋_GB2312" w:cs="仿宋_GB2312"/>
          <w:sz w:val="31"/>
          <w:szCs w:val="31"/>
        </w:rPr>
        <w:t>监督保障。调整了市政府政务公开领导小组，明确了政务公开工作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专人专责</w:t>
      </w:r>
      <w:r>
        <w:rPr>
          <w:rFonts w:hint="default" w:ascii="仿宋_GB2312" w:eastAsia="仿宋_GB2312" w:cs="仿宋_GB2312"/>
          <w:sz w:val="31"/>
          <w:szCs w:val="31"/>
        </w:rPr>
        <w:t>。全年举办大型培训会议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四</w:t>
      </w:r>
      <w:r>
        <w:rPr>
          <w:rFonts w:hint="default" w:ascii="仿宋_GB2312" w:eastAsia="仿宋_GB2312" w:cs="仿宋_GB2312"/>
          <w:sz w:val="31"/>
          <w:szCs w:val="31"/>
        </w:rPr>
        <w:t>次，通过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线下和</w:t>
      </w:r>
      <w:r>
        <w:rPr>
          <w:rFonts w:hint="default" w:ascii="仿宋_GB2312" w:eastAsia="仿宋_GB2312" w:cs="仿宋_GB2312"/>
          <w:sz w:val="31"/>
          <w:szCs w:val="31"/>
        </w:rPr>
        <w:t>视频会议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相结合</w:t>
      </w:r>
      <w:r>
        <w:rPr>
          <w:rFonts w:hint="default" w:ascii="仿宋_GB2312" w:eastAsia="仿宋_GB2312" w:cs="仿宋_GB2312"/>
          <w:sz w:val="31"/>
          <w:szCs w:val="31"/>
        </w:rPr>
        <w:t>的形式，将培训范围覆盖到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全市各区县和市、县所有部门的</w:t>
      </w:r>
      <w:r>
        <w:rPr>
          <w:rFonts w:hint="default" w:ascii="仿宋_GB2312" w:eastAsia="仿宋_GB2312" w:cs="仿宋_GB2312"/>
          <w:sz w:val="31"/>
          <w:szCs w:val="31"/>
        </w:rPr>
        <w:t>基层政务公开工作人员。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645" w:lineRule="atLeast"/>
        <w:ind w:left="0" w:right="0" w:firstLine="645"/>
        <w:rPr>
          <w:rFonts w:hint="default" w:ascii="黑体" w:hAnsi="宋体" w:eastAsia="黑体" w:cs="黑体"/>
          <w:sz w:val="31"/>
          <w:szCs w:val="31"/>
        </w:rPr>
      </w:pPr>
      <w:r>
        <w:rPr>
          <w:rFonts w:hint="default" w:ascii="黑体" w:hAnsi="宋体" w:eastAsia="黑体" w:cs="黑体"/>
          <w:sz w:val="31"/>
          <w:szCs w:val="31"/>
        </w:rPr>
        <w:t>二、主动公开政府信息情况</w:t>
      </w:r>
    </w:p>
    <w:tbl>
      <w:tblPr>
        <w:tblStyle w:val="5"/>
        <w:tblW w:w="8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2108"/>
        <w:gridCol w:w="2108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4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本年制发件数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本年废止件数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规章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44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33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44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33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4922273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44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33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63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158077.76</w:t>
            </w:r>
          </w:p>
        </w:tc>
      </w:tr>
    </w:tbl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spacing w:before="75" w:beforeAutospacing="0" w:after="75" w:afterAutospacing="0"/>
        <w:ind w:right="0" w:firstLine="465" w:firstLineChars="150"/>
        <w:rPr>
          <w:rFonts w:hint="default" w:ascii="黑体" w:hAnsi="宋体" w:eastAsia="黑体" w:cs="黑体"/>
          <w:sz w:val="31"/>
          <w:szCs w:val="31"/>
        </w:rPr>
      </w:pPr>
      <w:r>
        <w:rPr>
          <w:rFonts w:hint="default" w:ascii="黑体" w:hAnsi="宋体" w:eastAsia="黑体" w:cs="黑体"/>
          <w:sz w:val="31"/>
          <w:szCs w:val="31"/>
        </w:rPr>
        <w:t>收到和处理政府信息公开申请情况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08"/>
        <w:gridCol w:w="1043"/>
        <w:gridCol w:w="748"/>
        <w:gridCol w:w="806"/>
        <w:gridCol w:w="866"/>
        <w:gridCol w:w="835"/>
        <w:gridCol w:w="774"/>
        <w:gridCol w:w="814"/>
        <w:gridCol w:w="7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9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（本列数据的勾稽关系：第一项加第二项这和，等于第三项加第四项只和）</w:t>
            </w:r>
          </w:p>
        </w:tc>
        <w:tc>
          <w:tcPr>
            <w:tcW w:w="33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9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、上年结转政府信息公开申请数量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（二）部分公开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1.属于国家机密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1.申请人无正当理由逾期不不不补正、行政机关不再处理其政府信息公开申请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2.申请人预期未按收费通知要求缴纳费用、行政机关不再处理其政府信息公开申请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12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</w:tbl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645" w:lineRule="atLeast"/>
        <w:ind w:right="0" w:rightChars="0" w:firstLine="620" w:firstLineChars="200"/>
        <w:rPr>
          <w:rFonts w:hint="default" w:ascii="黑体" w:hAnsi="宋体" w:eastAsia="黑体" w:cs="黑体"/>
          <w:sz w:val="31"/>
          <w:szCs w:val="31"/>
        </w:rPr>
      </w:pPr>
      <w:r>
        <w:rPr>
          <w:rFonts w:hint="eastAsia" w:ascii="黑体" w:hAnsi="宋体" w:eastAsia="黑体" w:cs="黑体"/>
          <w:sz w:val="31"/>
          <w:szCs w:val="31"/>
          <w:lang w:eastAsia="zh-CN"/>
        </w:rPr>
        <w:t>四、</w:t>
      </w:r>
      <w:r>
        <w:rPr>
          <w:rFonts w:hint="default" w:ascii="黑体" w:hAnsi="宋体" w:eastAsia="黑体" w:cs="黑体"/>
          <w:sz w:val="31"/>
          <w:szCs w:val="31"/>
        </w:rPr>
        <w:t>政府信息公开行政复议、行政诉讼情况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655"/>
        <w:gridCol w:w="653"/>
        <w:gridCol w:w="502"/>
        <w:gridCol w:w="546"/>
        <w:gridCol w:w="661"/>
        <w:gridCol w:w="655"/>
        <w:gridCol w:w="502"/>
        <w:gridCol w:w="502"/>
        <w:gridCol w:w="509"/>
        <w:gridCol w:w="661"/>
        <w:gridCol w:w="502"/>
        <w:gridCol w:w="502"/>
        <w:gridCol w:w="655"/>
        <w:gridCol w:w="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0" w:type="auto"/>
            <w:gridSpan w:val="10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维持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5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审结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审结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纠正</w:t>
            </w:r>
          </w:p>
        </w:tc>
        <w:tc>
          <w:tcPr>
            <w:tcW w:w="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 w:firstLine="620" w:firstLineChars="200"/>
      </w:pPr>
      <w:r>
        <w:rPr>
          <w:rFonts w:hint="default" w:ascii="黑体" w:hAnsi="宋体" w:eastAsia="黑体" w:cs="黑体"/>
          <w:sz w:val="31"/>
          <w:szCs w:val="31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rFonts w:hint="eastAsia" w:ascii="仿宋_GB2312" w:eastAsia="仿宋_GB2312" w:cs="仿宋_GB2312"/>
          <w:sz w:val="31"/>
          <w:szCs w:val="31"/>
          <w:lang w:eastAsia="zh-CN"/>
        </w:rPr>
      </w:pPr>
      <w:r>
        <w:rPr>
          <w:sz w:val="27"/>
          <w:szCs w:val="27"/>
        </w:rPr>
        <w:t> </w:t>
      </w:r>
      <w:r>
        <w:rPr>
          <w:rFonts w:hint="default" w:ascii="仿宋_GB2312" w:eastAsia="仿宋_GB2312" w:cs="仿宋_GB2312"/>
          <w:sz w:val="31"/>
          <w:szCs w:val="31"/>
        </w:rPr>
        <w:t>202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2</w:t>
      </w:r>
      <w:r>
        <w:rPr>
          <w:rFonts w:hint="default" w:ascii="仿宋_GB2312" w:eastAsia="仿宋_GB2312" w:cs="仿宋_GB2312"/>
          <w:sz w:val="31"/>
          <w:szCs w:val="31"/>
        </w:rPr>
        <w:t>年，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聊城市</w:t>
      </w:r>
      <w:r>
        <w:rPr>
          <w:rFonts w:hint="default" w:ascii="仿宋_GB2312" w:eastAsia="仿宋_GB2312" w:cs="仿宋_GB2312"/>
          <w:sz w:val="31"/>
          <w:szCs w:val="31"/>
        </w:rPr>
        <w:t>政府信息公开工作中还存在一定差距，主要表现在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底层工作机制需要更新、重点领域信息公开工作针对性不强、政策解读创新性不足等，下一步将着重在以下几个方面予以改进。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（一）理顺工作机制，夯实政务公开工作基础。建立全时间周期政务公开、全生命周期政策解读机制，集聚政府中心工作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" w:eastAsia="zh-CN"/>
        </w:rPr>
        <w:t>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将主动公开嵌入工作各环节，同步谋划、同步推动、同步实施，巩固主动公开工作基础；实施重大行政决策、重要事项清单制管理，健全名录报备；实施意见征集、公开属性源头认定、信息发布和动态更新全链条工作机制，压实政府部门政务公开主体责任；规范依申请公开办理流程，健全同步报备、同步指导工作措施，提升依申请公开质效；健全政务网站站群和政务新媒体运维监管机制，强化平台建设和内容建设，增强技术支撑，确保政务网站和全市政务新媒体管理规范、更新及时、内容准确、服务到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（二）聚焦重点任务，确保政务公开精准高效。以重点领域信息公开为突破点，立足各领域信息公开特点规范信息架构，优化信息归集，增强公开时效；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突显政务公开为大局服务的作用，围绕重点工作任务针对性强化信息发布，以公开稳舆情、稳预期、增信心。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三）聚力解读创新，提升政务公开便民质效。以政策解读为政务公开提升点，把政策解读嵌入政策制定和实施的全生命周期，在各阶段，同步开展有侧重的解读；建立重大政策协同解读机制，稳妥推进会议全方位解读，以政府全体会议、常务会议议题解读为示范，拓展会议解读广度和深度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645" w:lineRule="atLeast"/>
        <w:ind w:left="0" w:right="0" w:firstLine="645"/>
        <w:rPr>
          <w:rFonts w:hint="default" w:ascii="黑体" w:hAnsi="宋体" w:eastAsia="黑体" w:cs="黑体"/>
          <w:sz w:val="31"/>
          <w:szCs w:val="31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645" w:lineRule="atLeast"/>
        <w:ind w:left="0" w:right="0" w:firstLine="645"/>
      </w:pPr>
      <w:r>
        <w:rPr>
          <w:rFonts w:hint="default" w:ascii="黑体" w:hAnsi="宋体" w:eastAsia="黑体" w:cs="黑体"/>
          <w:sz w:val="31"/>
          <w:szCs w:val="31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sz w:val="31"/>
          <w:szCs w:val="31"/>
          <w:lang w:eastAsia="zh-CN"/>
        </w:rPr>
      </w:pPr>
      <w:r>
        <w:rPr>
          <w:rFonts w:hint="eastAsia" w:ascii="仿宋_GB2312" w:eastAsia="仿宋_GB2312" w:cs="仿宋_GB2312"/>
          <w:sz w:val="31"/>
          <w:szCs w:val="31"/>
          <w:lang w:eastAsia="zh-CN"/>
        </w:rPr>
        <w:t>（一）</w:t>
      </w:r>
      <w:r>
        <w:rPr>
          <w:rFonts w:ascii="仿宋_GB2312" w:hAnsi="宋体" w:eastAsia="仿宋_GB2312" w:cs="仿宋_GB2312"/>
          <w:sz w:val="31"/>
          <w:szCs w:val="31"/>
        </w:rPr>
        <w:t>政务公开工作创新情况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拓展解读渠道，促进政策解读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多维度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”。一是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在全市范围内开展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我为解读献计策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活动，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广泛倾听群众解读诉求，采纳群众意见；二是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搭建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局长（主任）大讲堂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交流平台，组织33个市政府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部门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一把手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围绕本单位重点工作和重大政策登台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授课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，带头宣讲解读政策，并同步在市政府门户网站公开；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开启政策解读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人工服务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模式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，政策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解读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页面后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附解读机构、解读人、联系方式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，对有需要的群众和企业实行一对一解读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深化政民互动，增强党群干群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亲密度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”。</w:t>
      </w: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集中开展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政府开放月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活动，围绕营商环境、民生保障等10余项社会关注度高的领域，精心策划线上线下互动交流活动502场（次），让群众多渠道、多方位、多角度了解政府工作。</w:t>
      </w: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实施市政府常务会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每月一题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制度，聚焦急难愁盼问题，邀请群众代表及相关责任方、利益方列席市政府常务会，共同商讨对策、解决问题，吸纳群众建议190余条，陆续啃下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停车难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农民工维权难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垃圾分类执行难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等多项民生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硬骨头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推出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政府民生实事看进展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系列报道，对政府工作报告中承诺的30件民生实事完成情况进行实地采访，由政府部门负责人出镜讲解进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展情况，以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短视频+图文报道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形式在政府门户网站和新闻媒体上同步刊发。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firstLine="645"/>
        <w:textAlignment w:val="auto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仿宋_GB2312" w:eastAsia="仿宋_GB2312" w:cs="仿宋_GB2312"/>
          <w:b/>
          <w:bCs/>
          <w:sz w:val="31"/>
          <w:szCs w:val="31"/>
        </w:rPr>
        <w:t>（二）本行政机关落实上级年度政务公开工作要点情况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firstLine="645"/>
        <w:textAlignment w:val="auto"/>
        <w:rPr>
          <w:rFonts w:hint="eastAsia" w:ascii="仿宋_GB2312" w:eastAsia="仿宋_GB2312" w:cs="仿宋_GB2312"/>
          <w:sz w:val="31"/>
          <w:szCs w:val="31"/>
          <w:lang w:eastAsia="zh-CN"/>
        </w:rPr>
      </w:pPr>
      <w:r>
        <w:rPr>
          <w:rFonts w:hint="eastAsia" w:ascii="仿宋_GB2312" w:eastAsia="仿宋_GB2312" w:cs="仿宋_GB2312"/>
          <w:sz w:val="31"/>
          <w:szCs w:val="31"/>
          <w:lang w:eastAsia="zh-CN"/>
        </w:rPr>
        <w:t>聊城市政府</w:t>
      </w:r>
      <w:r>
        <w:rPr>
          <w:rFonts w:hint="eastAsia" w:ascii="仿宋_GB2312" w:eastAsia="仿宋_GB2312" w:cs="仿宋_GB2312"/>
          <w:sz w:val="31"/>
          <w:szCs w:val="31"/>
        </w:rPr>
        <w:t>严格对照《国务院办公厅关于印发2022年政务公开工作要点的通知》（国办发〔2022〕8号）、《山东省人民政府办公厅关于印发2022年山东省政务公开工作要点的通知》（鲁政办发〔2022〕5号），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印发了</w:t>
      </w:r>
      <w:r>
        <w:rPr>
          <w:rFonts w:hint="eastAsia" w:ascii="仿宋_GB2312" w:eastAsia="仿宋_GB2312" w:cs="仿宋_GB2312"/>
          <w:sz w:val="31"/>
          <w:szCs w:val="31"/>
        </w:rPr>
        <w:t>《2022年聊城市政务公开工作要点》（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聊</w:t>
      </w:r>
      <w:r>
        <w:rPr>
          <w:rFonts w:hint="eastAsia" w:ascii="仿宋_GB2312" w:eastAsia="仿宋_GB2312" w:cs="仿宋_GB2312"/>
          <w:sz w:val="31"/>
          <w:szCs w:val="31"/>
        </w:rPr>
        <w:t>政办发〔2022〕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1</w:t>
      </w:r>
      <w:r>
        <w:rPr>
          <w:rFonts w:hint="eastAsia" w:ascii="仿宋_GB2312" w:eastAsia="仿宋_GB2312" w:cs="仿宋_GB2312"/>
          <w:sz w:val="31"/>
          <w:szCs w:val="31"/>
        </w:rPr>
        <w:t>号），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并以附件的形式下发了《</w:t>
      </w:r>
      <w:r>
        <w:rPr>
          <w:rFonts w:hint="eastAsia" w:ascii="仿宋_GB2312" w:eastAsia="仿宋_GB2312" w:cs="仿宋_GB2312"/>
          <w:sz w:val="31"/>
          <w:szCs w:val="31"/>
        </w:rPr>
        <w:t>2022年聊城市政务公开重点工作任务分解表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》，将上级年度政务公开工作要点细化分解成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5个大项、17个小项和33个重点任务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，并压实了</w:t>
      </w:r>
      <w:r>
        <w:rPr>
          <w:rFonts w:hint="eastAsia" w:ascii="仿宋_GB2312" w:eastAsia="仿宋_GB2312" w:cs="仿宋_GB2312"/>
          <w:sz w:val="31"/>
          <w:szCs w:val="31"/>
        </w:rPr>
        <w:t>主体责任。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在工作中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强化日常检查督导，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以任务分解表为基础，制作了政务公开日常工作评估指标，按月调度任务执行情况，并纳入政务公开年度考核体系，确保要点任务落到实处。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firstLine="645"/>
        <w:textAlignment w:val="auto"/>
      </w:pPr>
      <w:r>
        <w:rPr>
          <w:rFonts w:ascii="仿宋_GB2312" w:eastAsia="仿宋_GB2312" w:cs="仿宋_GB2312"/>
          <w:b/>
          <w:bCs/>
          <w:sz w:val="31"/>
          <w:szCs w:val="31"/>
        </w:rPr>
        <w:t>（</w:t>
      </w:r>
      <w:r>
        <w:rPr>
          <w:rFonts w:hint="eastAsia" w:ascii="仿宋_GB2312" w:eastAsia="仿宋_GB2312" w:cs="仿宋_GB2312"/>
          <w:b/>
          <w:bCs/>
          <w:sz w:val="31"/>
          <w:szCs w:val="31"/>
          <w:lang w:eastAsia="zh-CN"/>
        </w:rPr>
        <w:t>三</w:t>
      </w:r>
      <w:r>
        <w:rPr>
          <w:rFonts w:ascii="仿宋_GB2312" w:eastAsia="仿宋_GB2312" w:cs="仿宋_GB2312"/>
          <w:b/>
          <w:bCs/>
          <w:sz w:val="31"/>
          <w:szCs w:val="31"/>
        </w:rPr>
        <w:t>）人大代表建议和政协提案办理结果公开情况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firstLine="645"/>
        <w:textAlignment w:val="auto"/>
        <w:rPr>
          <w:rFonts w:hint="default" w:ascii="仿宋_GB2312" w:eastAsia="仿宋_GB2312" w:cs="仿宋_GB2312"/>
          <w:sz w:val="31"/>
          <w:szCs w:val="31"/>
        </w:rPr>
      </w:pPr>
      <w:r>
        <w:rPr>
          <w:rFonts w:hint="default" w:ascii="仿宋_GB2312" w:eastAsia="仿宋_GB2312" w:cs="仿宋_GB2312"/>
          <w:sz w:val="31"/>
          <w:szCs w:val="31"/>
        </w:rPr>
        <w:t>市十八届人大一次会议以来，市人大代表就全市相关方面工作提出了294件建议。其中，市十八届人大一次会议期间提出284件，闭会期间提出10件。这些建议中，由政府系统承办266件，由党群系统承办28件(其中与有关政府部门共同办理的12件)。目前，294件建议均已办理完毕并答复代表，代表满意（含基本满意）率达99%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firstLine="645"/>
        <w:textAlignment w:val="auto"/>
        <w:rPr>
          <w:rFonts w:hint="default" w:ascii="仿宋_GB2312" w:eastAsia="仿宋_GB2312" w:cs="仿宋_GB2312"/>
          <w:sz w:val="31"/>
          <w:szCs w:val="31"/>
        </w:rPr>
      </w:pPr>
      <w:r>
        <w:rPr>
          <w:rFonts w:hint="default" w:ascii="仿宋_GB2312" w:eastAsia="仿宋_GB2312" w:cs="仿宋_GB2312"/>
          <w:sz w:val="31"/>
          <w:szCs w:val="31"/>
        </w:rPr>
        <w:t>市政协十四届一次会议以来，政协委员、政协各参加单位和专门委员会，提出提案561件，经审查，立案409件。立案提案中，党派团体、专门委员会、界别等提案32件，委员提案377件，分别交由57个单位承办，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目前</w:t>
      </w:r>
      <w:r>
        <w:rPr>
          <w:rFonts w:hint="default" w:ascii="仿宋_GB2312" w:eastAsia="仿宋_GB2312" w:cs="仿宋_GB2312"/>
          <w:sz w:val="31"/>
          <w:szCs w:val="31"/>
        </w:rPr>
        <w:t>全部办复。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firstLine="645"/>
        <w:textAlignment w:val="auto"/>
        <w:rPr>
          <w:rFonts w:hint="default" w:ascii="仿宋_GB2312" w:eastAsia="仿宋_GB2312" w:cs="仿宋_GB2312"/>
          <w:sz w:val="31"/>
          <w:szCs w:val="3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414020</wp:posOffset>
            </wp:positionH>
            <wp:positionV relativeFrom="paragraph">
              <wp:posOffset>110490</wp:posOffset>
            </wp:positionV>
            <wp:extent cx="4572000" cy="2743200"/>
            <wp:effectExtent l="4445" t="4445" r="14605" b="14605"/>
            <wp:wrapNone/>
            <wp:docPr id="8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20" w:firstLineChars="200"/>
        <w:textAlignment w:val="auto"/>
        <w:rPr>
          <w:rFonts w:hint="default" w:ascii="仿宋_GB2312" w:eastAsia="仿宋_GB2312" w:cs="仿宋_GB2312"/>
          <w:sz w:val="31"/>
          <w:szCs w:val="3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20" w:firstLineChars="200"/>
        <w:textAlignment w:val="auto"/>
        <w:rPr>
          <w:rFonts w:hint="default" w:ascii="仿宋_GB2312" w:eastAsia="仿宋_GB2312" w:cs="仿宋_GB2312"/>
          <w:sz w:val="31"/>
          <w:szCs w:val="3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20" w:firstLineChars="200"/>
        <w:textAlignment w:val="auto"/>
        <w:rPr>
          <w:rFonts w:hint="default" w:ascii="仿宋_GB2312" w:eastAsia="仿宋_GB2312" w:cs="仿宋_GB2312"/>
          <w:sz w:val="31"/>
          <w:szCs w:val="3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20" w:firstLineChars="200"/>
        <w:textAlignment w:val="auto"/>
        <w:rPr>
          <w:rFonts w:hint="default" w:ascii="仿宋_GB2312" w:eastAsia="仿宋_GB2312" w:cs="仿宋_GB2312"/>
          <w:sz w:val="31"/>
          <w:szCs w:val="3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20" w:firstLineChars="200"/>
        <w:textAlignment w:val="auto"/>
        <w:rPr>
          <w:rFonts w:hint="default" w:ascii="仿宋_GB2312" w:eastAsia="仿宋_GB2312" w:cs="仿宋_GB2312"/>
          <w:sz w:val="31"/>
          <w:szCs w:val="3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20" w:firstLineChars="200"/>
        <w:textAlignment w:val="auto"/>
      </w:pPr>
      <w:r>
        <w:rPr>
          <w:rFonts w:hint="default" w:ascii="仿宋_GB2312" w:eastAsia="仿宋_GB2312" w:cs="仿宋_GB2312"/>
          <w:sz w:val="31"/>
          <w:szCs w:val="31"/>
        </w:rPr>
        <w:t>（三）收取政府信息公开信息处理费情况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firstLine="645"/>
        <w:textAlignment w:val="auto"/>
      </w:pPr>
      <w:r>
        <w:rPr>
          <w:rFonts w:hint="default" w:ascii="仿宋_GB2312" w:eastAsia="仿宋_GB2312" w:cs="仿宋_GB2312"/>
          <w:b/>
          <w:bCs/>
          <w:sz w:val="31"/>
          <w:szCs w:val="31"/>
        </w:rPr>
        <w:t>（</w:t>
      </w:r>
      <w:r>
        <w:rPr>
          <w:rFonts w:hint="eastAsia" w:ascii="仿宋_GB2312" w:eastAsia="仿宋_GB2312" w:cs="仿宋_GB2312"/>
          <w:b/>
          <w:bCs/>
          <w:sz w:val="31"/>
          <w:szCs w:val="31"/>
          <w:lang w:eastAsia="zh-CN"/>
        </w:rPr>
        <w:t>四</w:t>
      </w:r>
      <w:r>
        <w:rPr>
          <w:rFonts w:hint="default" w:ascii="仿宋_GB2312" w:eastAsia="仿宋_GB2312" w:cs="仿宋_GB2312"/>
          <w:b/>
          <w:bCs/>
          <w:sz w:val="31"/>
          <w:szCs w:val="31"/>
        </w:rPr>
        <w:t>）收取政府信息公开信息处理费情况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firstLine="645"/>
        <w:textAlignment w:val="auto"/>
      </w:pPr>
      <w:r>
        <w:rPr>
          <w:rFonts w:hint="default" w:ascii="仿宋_GB2312" w:eastAsia="仿宋_GB2312" w:cs="仿宋_GB2312"/>
          <w:sz w:val="31"/>
          <w:szCs w:val="31"/>
        </w:rPr>
        <w:t>202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2</w:t>
      </w:r>
      <w:r>
        <w:rPr>
          <w:rFonts w:hint="default" w:ascii="仿宋_GB2312" w:eastAsia="仿宋_GB2312" w:cs="仿宋_GB2312"/>
          <w:sz w:val="31"/>
          <w:szCs w:val="31"/>
        </w:rPr>
        <w:t>年，聊城市人民政府未收取政府信息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依申请</w:t>
      </w:r>
      <w:r>
        <w:rPr>
          <w:rFonts w:hint="default" w:ascii="仿宋_GB2312" w:eastAsia="仿宋_GB2312" w:cs="仿宋_GB2312"/>
          <w:sz w:val="31"/>
          <w:szCs w:val="31"/>
        </w:rPr>
        <w:t>公开信息处理费。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1D6CB8"/>
    <w:multiLevelType w:val="singleLevel"/>
    <w:tmpl w:val="A91D6CB8"/>
    <w:lvl w:ilvl="0" w:tentative="0">
      <w:start w:val="4"/>
      <w:numFmt w:val="chineseCounting"/>
      <w:suff w:val="nothing"/>
      <w:lvlText w:val="（%1）"/>
      <w:lvlJc w:val="left"/>
      <w:pPr>
        <w:ind w:left="-15"/>
      </w:pPr>
      <w:rPr>
        <w:rFonts w:hint="eastAsia"/>
      </w:rPr>
    </w:lvl>
  </w:abstractNum>
  <w:abstractNum w:abstractNumId="1">
    <w:nsid w:val="D37FA91F"/>
    <w:multiLevelType w:val="singleLevel"/>
    <w:tmpl w:val="D37FA91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D393B8E"/>
    <w:multiLevelType w:val="singleLevel"/>
    <w:tmpl w:val="ED393B8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ZDkwNWU0MDhlM2EyN2VmOWExZWQ1ZDg2ZmE2M2QifQ=="/>
  </w:docVars>
  <w:rsids>
    <w:rsidRoot w:val="00000000"/>
    <w:rsid w:val="031F2FB8"/>
    <w:rsid w:val="04A67ABB"/>
    <w:rsid w:val="13A768E9"/>
    <w:rsid w:val="162B20DB"/>
    <w:rsid w:val="1957368D"/>
    <w:rsid w:val="1D041381"/>
    <w:rsid w:val="3E635992"/>
    <w:rsid w:val="3EAB0813"/>
    <w:rsid w:val="43853221"/>
    <w:rsid w:val="443D2C32"/>
    <w:rsid w:val="5B690207"/>
    <w:rsid w:val="5C7823A2"/>
    <w:rsid w:val="60045959"/>
    <w:rsid w:val="64087FBB"/>
    <w:rsid w:val="65F9BB20"/>
    <w:rsid w:val="6F44470E"/>
    <w:rsid w:val="74E7192A"/>
    <w:rsid w:val="74FB6AF5"/>
    <w:rsid w:val="75D4BD30"/>
    <w:rsid w:val="767FC8C5"/>
    <w:rsid w:val="77F3640A"/>
    <w:rsid w:val="7F5FCA22"/>
    <w:rsid w:val="7FDF95B5"/>
    <w:rsid w:val="AEF7E5AE"/>
    <w:rsid w:val="CE77E0B9"/>
    <w:rsid w:val="D7B2EB18"/>
    <w:rsid w:val="EF7B7BDD"/>
    <w:rsid w:val="F3F2E911"/>
    <w:rsid w:val="F5F5C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/home/user/&#26700;&#38754;/WPS&#34920;&#26684;&#24037;&#20316;&#34920;.et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user/&#26700;&#38754;/WPS&#34920;&#26684;&#24037;&#20316;&#34920;.et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图一</a:t>
            </a:r>
            <a:r>
              <a:rPr altLang="en-US"/>
              <a:t>：</a:t>
            </a:r>
            <a:r>
              <a:t>依申请公开</a:t>
            </a:r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/>
      <c:pieChart>
        <c:varyColors val="true"/>
        <c:ser>
          <c:idx val="0"/>
          <c:order val="0"/>
          <c:spPr/>
          <c:explosion val="0"/>
          <c:dPt>
            <c:idx val="0"/>
            <c:bubble3D val="false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false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false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false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false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false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false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true"/>
          </c:dLbls>
          <c:cat>
            <c:strRef>
              <c:f>[WPS表格工作表.et]Sheet1!$A$10:$A$16</c:f>
              <c:strCache>
                <c:ptCount val="7"/>
                <c:pt idx="1">
                  <c:v>予以公开</c:v>
                </c:pt>
                <c:pt idx="2">
                  <c:v>部分公开</c:v>
                </c:pt>
                <c:pt idx="3">
                  <c:v>不予公开</c:v>
                </c:pt>
                <c:pt idx="4">
                  <c:v>无法提供</c:v>
                </c:pt>
                <c:pt idx="5">
                  <c:v>不予处理</c:v>
                </c:pt>
                <c:pt idx="6">
                  <c:v>其他处理</c:v>
                </c:pt>
              </c:strCache>
            </c:strRef>
          </c:cat>
          <c:val>
            <c:numRef>
              <c:f>[WPS表格工作表.et]Sheet1!$B$10:$B$16</c:f>
              <c:numCache>
                <c:formatCode>General</c:formatCode>
                <c:ptCount val="7"/>
                <c:pt idx="1">
                  <c:v>622</c:v>
                </c:pt>
                <c:pt idx="2">
                  <c:v>141</c:v>
                </c:pt>
                <c:pt idx="3">
                  <c:v>79</c:v>
                </c:pt>
                <c:pt idx="4">
                  <c:v>294</c:v>
                </c:pt>
                <c:pt idx="5">
                  <c:v>61</c:v>
                </c:pt>
                <c:pt idx="6">
                  <c:v>56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  <c:showLeaderLines val="true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图二：办理情况</a:t>
            </a:r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/>
      <c:barChart>
        <c:barDir val="bar"/>
        <c:grouping val="clustered"/>
        <c:varyColors val="false"/>
        <c:ser>
          <c:idx val="0"/>
          <c:order val="0"/>
          <c:spPr>
            <a:gradFill flip="none" rotWithShape="true">
              <a:gsLst>
                <a:gs pos="0">
                  <a:schemeClr val="accent1"/>
                </a:gs>
                <a:gs pos="75000">
                  <a:schemeClr val="accent1">
                    <a:lumMod val="60000"/>
                    <a:lumOff val="40000"/>
                  </a:schemeClr>
                </a:gs>
                <a:gs pos="51000">
                  <a:schemeClr val="accent1">
                    <a:alpha val="75000"/>
                  </a:schemeClr>
                </a:gs>
                <a:gs pos="100000">
                  <a:schemeClr val="accent1">
                    <a:lumMod val="20000"/>
                    <a:lumOff val="80000"/>
                    <a:alpha val="15000"/>
                  </a:schemeClr>
                </a:gs>
              </a:gsLst>
              <a:lin ang="10800000" scaled="true"/>
            </a:gradFill>
            <a:ln>
              <a:noFill/>
            </a:ln>
            <a:effectLst/>
          </c:spPr>
          <c:invertIfNegative val="false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[WPS表格工作表.et]Sheet1!$A$20:$A$21</c:f>
              <c:strCache>
                <c:ptCount val="2"/>
                <c:pt idx="0">
                  <c:v>人大建议</c:v>
                </c:pt>
                <c:pt idx="1">
                  <c:v>政协提案</c:v>
                </c:pt>
              </c:strCache>
            </c:strRef>
          </c:cat>
          <c:val>
            <c:numRef>
              <c:f>[WPS表格工作表.et]Sheet1!$B$20:$B$21</c:f>
              <c:numCache>
                <c:formatCode>General</c:formatCode>
                <c:ptCount val="2"/>
                <c:pt idx="0">
                  <c:v>294</c:v>
                </c:pt>
                <c:pt idx="1">
                  <c:v>561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gapWidth val="326"/>
        <c:overlap val="-58"/>
        <c:axId val="702154860"/>
        <c:axId val="696474669"/>
      </c:barChart>
      <c:catAx>
        <c:axId val="702154860"/>
        <c:scaling>
          <c:orientation val="minMax"/>
        </c:scaling>
        <c:delete val="false"/>
        <c:axPos val="l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15000"/>
                <a:lumOff val="8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96474669"/>
        <c:crosses val="autoZero"/>
        <c:auto val="true"/>
        <c:lblAlgn val="ctr"/>
        <c:lblOffset val="100"/>
        <c:noMultiLvlLbl val="false"/>
      </c:catAx>
      <c:valAx>
        <c:axId val="696474669"/>
        <c:scaling>
          <c:orientation val="minMax"/>
        </c:scaling>
        <c:delete val="false"/>
        <c:axPos val="b"/>
        <c:majorGridlines>
          <c:spPr>
            <a:ln w="9525" cap="flat" cmpd="sng" algn="ctr">
              <a:gradFill>
                <a:gsLst>
                  <a:gs pos="99000">
                    <a:schemeClr val="tx1">
                      <a:lumMod val="25000"/>
                      <a:lumOff val="75000"/>
                    </a:schemeClr>
                  </a:gs>
                  <a:gs pos="0">
                    <a:schemeClr val="tx1">
                      <a:lumMod val="15000"/>
                      <a:lumOff val="85000"/>
                    </a:schemeClr>
                  </a:gs>
                </a:gsLst>
                <a:lin ang="5400000" scaled="false"/>
              </a:gra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02154860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true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10800000" scaled="true"/>
      </a:gra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 flip="none" rotWithShape="true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10800000" scaled="true"/>
      </a:gra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99000">
              <a:schemeClr val="tx1">
                <a:lumMod val="25000"/>
                <a:lumOff val="75000"/>
              </a:schemeClr>
            </a:gs>
            <a:gs pos="0">
              <a:schemeClr val="tx1">
                <a:lumMod val="15000"/>
                <a:lumOff val="85000"/>
              </a:schemeClr>
            </a:gs>
          </a:gsLst>
          <a:lin ang="5400000" scaled="false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15000"/>
                <a:lumOff val="85000"/>
              </a:schemeClr>
            </a:gs>
            <a:gs pos="0">
              <a:schemeClr val="tx1">
                <a:lumMod val="5000"/>
                <a:lumOff val="95000"/>
              </a:schemeClr>
            </a:gs>
          </a:gsLst>
          <a:lin ang="5400000" scaled="false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3285</Words>
  <Characters>3535</Characters>
  <Lines>0</Lines>
  <Paragraphs>0</Paragraphs>
  <TotalTime>8</TotalTime>
  <ScaleCrop>false</ScaleCrop>
  <LinksUpToDate>false</LinksUpToDate>
  <CharactersWithSpaces>3536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user</cp:lastModifiedBy>
  <dcterms:modified xsi:type="dcterms:W3CDTF">2023-03-09T15:49:44Z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DF5D46A186894E3288E64A1286C8F889</vt:lpwstr>
  </property>
</Properties>
</file>