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B7C" w:rsidRDefault="00DC6B7C">
      <w:pPr>
        <w:jc w:val="center"/>
        <w:rPr>
          <w:rFonts w:asciiTheme="minorEastAsia" w:hAnsiTheme="minorEastAsia" w:cstheme="minorEastAsia"/>
          <w:sz w:val="44"/>
          <w:szCs w:val="44"/>
        </w:rPr>
      </w:pPr>
    </w:p>
    <w:p w:rsidR="00DC6B7C" w:rsidRDefault="00DC6B7C">
      <w:pPr>
        <w:rPr>
          <w:rFonts w:asciiTheme="minorEastAsia" w:hAnsiTheme="minorEastAsia" w:cstheme="minorEastAsia"/>
          <w:sz w:val="44"/>
          <w:szCs w:val="44"/>
        </w:rPr>
      </w:pPr>
    </w:p>
    <w:p w:rsidR="00DC6B7C" w:rsidRDefault="0033631A">
      <w:pPr>
        <w:jc w:val="center"/>
        <w:rPr>
          <w:rFonts w:asciiTheme="minorEastAsia" w:hAnsiTheme="minorEastAsia" w:cstheme="minorEastAsia"/>
          <w:sz w:val="44"/>
          <w:szCs w:val="44"/>
        </w:rPr>
      </w:pPr>
      <w:r>
        <w:rPr>
          <w:rFonts w:asciiTheme="minorEastAsia" w:hAnsiTheme="minorEastAsia" w:cstheme="minorEastAsia" w:hint="eastAsia"/>
          <w:sz w:val="44"/>
          <w:szCs w:val="44"/>
        </w:rPr>
        <w:t>聊城市公厕管理办法</w:t>
      </w:r>
    </w:p>
    <w:p w:rsidR="00DC6B7C" w:rsidRDefault="0033631A">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仿宋" w:eastAsia="仿宋" w:hAnsi="仿宋" w:cs="仿宋"/>
          <w:color w:val="333333"/>
          <w:sz w:val="27"/>
          <w:szCs w:val="27"/>
          <w:shd w:val="clear" w:color="auto" w:fill="FFFFFF"/>
        </w:rPr>
        <w:t>2020</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12</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23</w:t>
      </w:r>
      <w:r>
        <w:rPr>
          <w:rFonts w:ascii="仿宋" w:eastAsia="仿宋" w:hAnsi="仿宋" w:cs="仿宋"/>
          <w:color w:val="333333"/>
          <w:sz w:val="27"/>
          <w:szCs w:val="27"/>
          <w:shd w:val="clear" w:color="auto" w:fill="FFFFFF"/>
        </w:rPr>
        <w:t>日市人民政府第</w:t>
      </w:r>
      <w:r>
        <w:rPr>
          <w:rFonts w:ascii="仿宋" w:eastAsia="仿宋" w:hAnsi="仿宋" w:cs="仿宋"/>
          <w:color w:val="333333"/>
          <w:sz w:val="27"/>
          <w:szCs w:val="27"/>
          <w:shd w:val="clear" w:color="auto" w:fill="FFFFFF"/>
        </w:rPr>
        <w:t>85</w:t>
      </w:r>
      <w:r>
        <w:rPr>
          <w:rFonts w:ascii="仿宋" w:eastAsia="仿宋" w:hAnsi="仿宋" w:cs="仿宋"/>
          <w:color w:val="333333"/>
          <w:sz w:val="27"/>
          <w:szCs w:val="27"/>
          <w:shd w:val="clear" w:color="auto" w:fill="FFFFFF"/>
        </w:rPr>
        <w:t>次常务会议审议通过</w:t>
      </w:r>
      <w:r>
        <w:rPr>
          <w:rFonts w:ascii="仿宋" w:eastAsia="仿宋" w:hAnsi="仿宋" w:cs="仿宋" w:hint="eastAsia"/>
          <w:color w:val="333333"/>
          <w:sz w:val="27"/>
          <w:szCs w:val="27"/>
          <w:shd w:val="clear" w:color="auto" w:fill="FFFFFF"/>
        </w:rPr>
        <w:t>聊城市人民政府令</w:t>
      </w:r>
      <w:r>
        <w:rPr>
          <w:rFonts w:ascii="仿宋" w:eastAsia="仿宋" w:hAnsi="仿宋" w:cs="仿宋" w:hint="eastAsia"/>
          <w:color w:val="333333"/>
          <w:sz w:val="27"/>
          <w:szCs w:val="27"/>
          <w:shd w:val="clear" w:color="auto" w:fill="FFFFFF"/>
        </w:rPr>
        <w:t>40</w:t>
      </w:r>
      <w:r>
        <w:rPr>
          <w:rFonts w:ascii="仿宋" w:eastAsia="仿宋" w:hAnsi="仿宋" w:cs="仿宋" w:hint="eastAsia"/>
          <w:color w:val="333333"/>
          <w:sz w:val="27"/>
          <w:szCs w:val="27"/>
          <w:shd w:val="clear" w:color="auto" w:fill="FFFFFF"/>
        </w:rPr>
        <w:t>号</w:t>
      </w:r>
      <w:bookmarkStart w:id="0" w:name="_GoBack"/>
      <w:bookmarkEnd w:id="0"/>
      <w:r>
        <w:rPr>
          <w:rFonts w:ascii="仿宋" w:eastAsia="仿宋" w:hAnsi="仿宋" w:cs="仿宋"/>
          <w:color w:val="333333"/>
          <w:sz w:val="27"/>
          <w:szCs w:val="27"/>
          <w:shd w:val="clear" w:color="auto" w:fill="FFFFFF"/>
        </w:rPr>
        <w:t>公布，自</w:t>
      </w:r>
      <w:r>
        <w:rPr>
          <w:rFonts w:ascii="仿宋" w:eastAsia="仿宋" w:hAnsi="仿宋" w:cs="仿宋"/>
          <w:color w:val="333333"/>
          <w:sz w:val="27"/>
          <w:szCs w:val="27"/>
          <w:shd w:val="clear" w:color="auto" w:fill="FFFFFF"/>
        </w:rPr>
        <w:t>2021</w:t>
      </w:r>
      <w:r>
        <w:rPr>
          <w:rFonts w:ascii="仿宋" w:eastAsia="仿宋" w:hAnsi="仿宋" w:cs="仿宋"/>
          <w:color w:val="333333"/>
          <w:sz w:val="27"/>
          <w:szCs w:val="27"/>
          <w:shd w:val="clear" w:color="auto" w:fill="FFFFFF"/>
        </w:rPr>
        <w:t>年</w:t>
      </w:r>
      <w:r>
        <w:rPr>
          <w:rFonts w:ascii="仿宋" w:eastAsia="仿宋" w:hAnsi="仿宋" w:cs="仿宋"/>
          <w:color w:val="333333"/>
          <w:sz w:val="27"/>
          <w:szCs w:val="27"/>
          <w:shd w:val="clear" w:color="auto" w:fill="FFFFFF"/>
        </w:rPr>
        <w:t>3</w:t>
      </w:r>
      <w:r>
        <w:rPr>
          <w:rFonts w:ascii="仿宋" w:eastAsia="仿宋" w:hAnsi="仿宋" w:cs="仿宋"/>
          <w:color w:val="333333"/>
          <w:sz w:val="27"/>
          <w:szCs w:val="27"/>
          <w:shd w:val="clear" w:color="auto" w:fill="FFFFFF"/>
        </w:rPr>
        <w:t>月</w:t>
      </w:r>
      <w:r>
        <w:rPr>
          <w:rFonts w:ascii="仿宋" w:eastAsia="仿宋" w:hAnsi="仿宋" w:cs="仿宋"/>
          <w:color w:val="333333"/>
          <w:sz w:val="27"/>
          <w:szCs w:val="27"/>
          <w:shd w:val="clear" w:color="auto" w:fill="FFFFFF"/>
        </w:rPr>
        <w:t>1</w:t>
      </w:r>
      <w:r>
        <w:rPr>
          <w:rFonts w:ascii="仿宋" w:eastAsia="仿宋" w:hAnsi="仿宋" w:cs="仿宋"/>
          <w:color w:val="333333"/>
          <w:sz w:val="27"/>
          <w:szCs w:val="27"/>
          <w:shd w:val="clear" w:color="auto" w:fill="FFFFFF"/>
        </w:rPr>
        <w:t>日起施行。</w:t>
      </w:r>
      <w:r>
        <w:rPr>
          <w:rFonts w:ascii="楷体_GB2312" w:eastAsia="楷体_GB2312" w:hAnsi="楷体_GB2312" w:cs="楷体_GB2312" w:hint="eastAsia"/>
          <w:color w:val="333333"/>
          <w:sz w:val="32"/>
          <w:szCs w:val="32"/>
          <w:shd w:val="clear" w:color="auto" w:fill="FFFFFF"/>
        </w:rPr>
        <w:t>)</w:t>
      </w:r>
    </w:p>
    <w:p w:rsidR="00DC6B7C" w:rsidRDefault="00DC6B7C">
      <w:pPr>
        <w:rPr>
          <w:rFonts w:ascii="宋体" w:eastAsia="宋体" w:hAnsi="宋体" w:cs="宋体"/>
          <w:color w:val="333333"/>
          <w:sz w:val="36"/>
          <w:szCs w:val="36"/>
          <w:shd w:val="clear" w:color="auto" w:fill="FFFFFF"/>
        </w:rPr>
      </w:pP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color w:val="333333"/>
          <w:sz w:val="31"/>
          <w:szCs w:val="31"/>
          <w:shd w:val="clear" w:color="auto" w:fill="FFFFFF"/>
        </w:rPr>
        <w:t>第一条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为了加强本市城市公厕的建设和管理，增强和完善城市功能，提高居民生活质量，根据《城市市容和环境卫生管理条例》《聊城市城镇容貌和环境卫生管理条例》等法规规定，结合本市实际，制定本办法。</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第二条</w:t>
      </w:r>
      <w:r>
        <w:rPr>
          <w:rStyle w:val="a7"/>
          <w:rFonts w:ascii="仿宋" w:eastAsia="仿宋" w:hAnsi="仿宋" w:cs="仿宋" w:hint="eastAsia"/>
          <w:bCs/>
          <w:color w:val="333333"/>
          <w:sz w:val="31"/>
          <w:szCs w:val="31"/>
          <w:shd w:val="clear" w:color="auto" w:fill="FFFFFF"/>
        </w:rPr>
        <w:t> </w:t>
      </w:r>
      <w:r>
        <w:rPr>
          <w:rStyle w:val="a7"/>
          <w:rFonts w:ascii="仿宋" w:eastAsia="仿宋" w:hAnsi="仿宋" w:cs="仿宋" w:hint="eastAsia"/>
          <w:bCs/>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本办法适用于本市行政区域内城市建成区公厕的规划、建设和管理。</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第三条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本办法所称公厕，是指供城市居民和流动人口共同使用的厕所，包括道路、广场、公园、集贸市场、机场、车站、宾馆、商店、饭店、影剧院、体育馆、展览馆、娱乐场所等公共场所或公共建筑附设的公厕。</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第四条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市环境卫生主管部门负责本市行政区域内城市公厕的监督管理工作。</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lastRenderedPageBreak/>
        <w:t>县（市、区）环境卫生主管部门负责本行政区域内城市公厕的监督管理工作。</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发展改革、自然资源和规划、住房城乡建设、行政审批服务等主管部门，应当按照各自职责，依法做好公厕管理相关工作。</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第五条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公厕应当按照统一规划、合理布局、方便群众、卫生适用、整洁美观的原则</w:t>
      </w:r>
      <w:r>
        <w:rPr>
          <w:rFonts w:ascii="仿宋" w:eastAsia="仿宋" w:hAnsi="仿宋" w:cs="仿宋" w:hint="eastAsia"/>
          <w:color w:val="333333"/>
          <w:sz w:val="31"/>
          <w:szCs w:val="31"/>
          <w:shd w:val="clear" w:color="auto" w:fill="FFFFFF"/>
        </w:rPr>
        <w:t>，进行规划和建设。</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市、县（市、区）人民政府应当将由政府承担的公厕建设、管理资金纳入本级财政预算。</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第六条</w:t>
      </w:r>
      <w:r>
        <w:rPr>
          <w:rFonts w:ascii="黑体" w:eastAsia="黑体" w:hAnsi="宋体" w:cs="黑体"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市、县（市、区）环境卫生主管部门应当会同有关部门，根据城市居住人口密度、流动人口数量、公共场所分布状态等影响公厕需求的因素，编制公厕规划，并纳入城市环境卫生发展规划，报同级人民政府批准后组织实施。</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第七条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下列公共场所、公共建筑应当按照规定的标准设置公厕：</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（一）广场、公园、风景名胜游览区、主次干道两侧；</w:t>
      </w:r>
    </w:p>
    <w:p w:rsidR="00DC6B7C" w:rsidRDefault="0033631A">
      <w:pPr>
        <w:pStyle w:val="a6"/>
        <w:widowControl/>
        <w:shd w:val="clear" w:color="auto" w:fill="FFFFFF"/>
        <w:spacing w:before="75" w:beforeAutospacing="0" w:after="75" w:afterAutospacing="0" w:line="368" w:lineRule="atLeast"/>
        <w:ind w:firstLineChars="200" w:firstLine="620"/>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（二）公共汽车始末站、长途汽车站、地铁车站、火车站、机场、加油站、加气站；</w:t>
      </w:r>
    </w:p>
    <w:p w:rsidR="00DC6B7C" w:rsidRDefault="0033631A">
      <w:pPr>
        <w:pStyle w:val="a6"/>
        <w:widowControl/>
        <w:shd w:val="clear" w:color="auto" w:fill="FFFFFF"/>
        <w:spacing w:before="75" w:beforeAutospacing="0" w:after="75" w:afterAutospacing="0" w:line="368" w:lineRule="atLeast"/>
        <w:ind w:firstLineChars="200" w:firstLine="620"/>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lastRenderedPageBreak/>
        <w:t>（三）大中型商场（店）、各类市场、宾馆、饭店、娱乐场所、影剧院、体育馆（场）、展览馆、大中型停车场；</w:t>
      </w:r>
    </w:p>
    <w:p w:rsidR="00DC6B7C" w:rsidRDefault="0033631A">
      <w:pPr>
        <w:pStyle w:val="a6"/>
        <w:widowControl/>
        <w:shd w:val="clear" w:color="auto" w:fill="FFFFFF"/>
        <w:spacing w:before="75" w:beforeAutospacing="0" w:after="75" w:afterAutospacing="0" w:line="368" w:lineRule="atLeast"/>
        <w:ind w:firstLineChars="200" w:firstLine="620"/>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（四）住宅小区；</w:t>
      </w:r>
    </w:p>
    <w:p w:rsidR="00DC6B7C" w:rsidRDefault="0033631A">
      <w:pPr>
        <w:pStyle w:val="a6"/>
        <w:widowControl/>
        <w:shd w:val="clear" w:color="auto" w:fill="FFFFFF"/>
        <w:spacing w:before="75" w:beforeAutospacing="0" w:after="75" w:afterAutospacing="0" w:line="368" w:lineRule="atLeast"/>
        <w:ind w:firstLineChars="200" w:firstLine="620"/>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（五）其他应当设置公厕的场所。</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鼓励沿街公共建筑附设的内部厕所免费对外开放。</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第八条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公厕应当修建在临街、低楼层、人流量大、明显易找、便于粪便排放或清运的地点，并与周围环境相协调。</w:t>
      </w:r>
    </w:p>
    <w:p w:rsidR="00DC6B7C" w:rsidRDefault="0033631A">
      <w:pPr>
        <w:pStyle w:val="a6"/>
        <w:widowControl/>
        <w:shd w:val="clear" w:color="auto" w:fill="FFFFFF"/>
        <w:spacing w:before="75" w:beforeAutospacing="0" w:after="75" w:afterAutospacing="0" w:line="368" w:lineRule="atLeast"/>
        <w:ind w:firstLineChars="200" w:firstLine="620"/>
        <w:rPr>
          <w:rFonts w:ascii="仿宋" w:eastAsia="仿宋" w:hAnsi="仿宋" w:cs="仿宋"/>
          <w:color w:val="333333"/>
          <w:sz w:val="31"/>
          <w:szCs w:val="31"/>
          <w:shd w:val="clear" w:color="auto" w:fill="FFFFFF"/>
        </w:rPr>
      </w:pPr>
      <w:r>
        <w:rPr>
          <w:rFonts w:ascii="黑体" w:eastAsia="黑体" w:hAnsi="宋体" w:cs="黑体" w:hint="eastAsia"/>
          <w:color w:val="333333"/>
          <w:sz w:val="31"/>
          <w:szCs w:val="31"/>
          <w:shd w:val="clear" w:color="auto" w:fill="FFFFFF"/>
        </w:rPr>
        <w:t>第九条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新建、改建、扩建公厕应当达到或者高于国家规定的城市二类公厕设计标准，并符合以下要求：</w:t>
      </w:r>
    </w:p>
    <w:p w:rsidR="00DC6B7C" w:rsidRDefault="0033631A">
      <w:pPr>
        <w:pStyle w:val="a6"/>
        <w:widowControl/>
        <w:shd w:val="clear" w:color="auto" w:fill="FFFFFF"/>
        <w:spacing w:before="75" w:beforeAutospacing="0" w:after="75" w:afterAutospacing="0" w:line="368" w:lineRule="atLeast"/>
        <w:ind w:firstLineChars="200" w:firstLine="620"/>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（一）公厕应当实现水冲化；</w:t>
      </w:r>
    </w:p>
    <w:p w:rsidR="00DC6B7C" w:rsidRDefault="0033631A">
      <w:pPr>
        <w:pStyle w:val="a6"/>
        <w:widowControl/>
        <w:shd w:val="clear" w:color="auto" w:fill="FFFFFF"/>
        <w:spacing w:before="75" w:beforeAutospacing="0" w:after="75" w:afterAutospacing="0" w:line="368" w:lineRule="atLeast"/>
        <w:ind w:firstLineChars="200" w:firstLine="620"/>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（二）采用节水、节电、除臭等有利于节约资源、保护环境的技术和设备；</w:t>
      </w:r>
    </w:p>
    <w:p w:rsidR="00DC6B7C" w:rsidRDefault="0033631A">
      <w:pPr>
        <w:pStyle w:val="a6"/>
        <w:widowControl/>
        <w:shd w:val="clear" w:color="auto" w:fill="FFFFFF"/>
        <w:spacing w:before="75" w:beforeAutospacing="0" w:after="75" w:afterAutospacing="0" w:line="368" w:lineRule="atLeast"/>
        <w:ind w:firstLineChars="200" w:firstLine="620"/>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（三）公厕的配套设施应当方便老年人、儿童和孕妇使用，并按照规定设置无障碍设施和第三卫生间；</w:t>
      </w:r>
    </w:p>
    <w:p w:rsidR="00DC6B7C" w:rsidRDefault="0033631A">
      <w:pPr>
        <w:pStyle w:val="a6"/>
        <w:widowControl/>
        <w:shd w:val="clear" w:color="auto" w:fill="FFFFFF"/>
        <w:spacing w:before="75" w:beforeAutospacing="0" w:after="75" w:afterAutospacing="0" w:line="368" w:lineRule="atLeast"/>
        <w:ind w:firstLineChars="200" w:firstLine="620"/>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（四）地面、墙裙、蹲台面、便器等采用防滑、防渗、耐腐蚀、易清洗的材料；</w:t>
      </w:r>
    </w:p>
    <w:p w:rsidR="00DC6B7C" w:rsidRDefault="0033631A">
      <w:pPr>
        <w:pStyle w:val="a6"/>
        <w:widowControl/>
        <w:shd w:val="clear" w:color="auto" w:fill="FFFFFF"/>
        <w:spacing w:before="75" w:beforeAutospacing="0" w:after="75" w:afterAutospacing="0" w:line="368" w:lineRule="atLeast"/>
        <w:ind w:firstLineChars="200" w:firstLine="620"/>
        <w:rPr>
          <w:rFonts w:ascii="仿宋" w:eastAsia="仿宋" w:hAnsi="仿宋" w:cs="仿宋"/>
          <w:color w:val="333333"/>
          <w:sz w:val="31"/>
          <w:szCs w:val="31"/>
          <w:shd w:val="clear" w:color="auto" w:fill="FFFFFF"/>
        </w:rPr>
      </w:pPr>
      <w:r>
        <w:rPr>
          <w:rFonts w:ascii="仿宋" w:eastAsia="仿宋" w:hAnsi="仿宋" w:cs="仿宋" w:hint="eastAsia"/>
          <w:color w:val="333333"/>
          <w:sz w:val="31"/>
          <w:szCs w:val="31"/>
          <w:shd w:val="clear" w:color="auto" w:fill="FFFFFF"/>
        </w:rPr>
        <w:t>（五）提供照明、通风设备以及防蝇、防蛆、防鼠设施；</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lastRenderedPageBreak/>
        <w:t>（六）实现粪便排放无害化，具备排放污水管条件的，应当纳入城市污水管网。</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本办法施行前已经建成的公厕，不符合公厕建设标准的，应当逐步改造达到标准。</w:t>
      </w:r>
    </w:p>
    <w:p w:rsidR="00DC6B7C" w:rsidRDefault="0033631A">
      <w:pPr>
        <w:pStyle w:val="a6"/>
        <w:widowControl/>
        <w:shd w:val="clear" w:color="auto" w:fill="FFFFFF"/>
        <w:spacing w:before="75" w:beforeAutospacing="0" w:after="75" w:afterAutospacing="0" w:line="368" w:lineRule="atLeast"/>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黑体" w:eastAsia="黑体" w:hAnsi="宋体" w:cs="黑体" w:hint="eastAsia"/>
          <w:color w:val="333333"/>
          <w:sz w:val="31"/>
          <w:szCs w:val="31"/>
          <w:shd w:val="clear" w:color="auto" w:fill="FFFFFF"/>
        </w:rPr>
        <w:t>第十条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公厕的建设单位或者维护管理单位应当设置明显、规范、统一的标识，确保安全牢固、完好整洁，并明示开放时间、监督电话、服务标准和保洁维护单</w:t>
      </w:r>
      <w:r>
        <w:rPr>
          <w:rFonts w:ascii="仿宋" w:eastAsia="仿宋" w:hAnsi="仿宋" w:cs="仿宋" w:hint="eastAsia"/>
          <w:color w:val="333333"/>
          <w:sz w:val="31"/>
          <w:szCs w:val="31"/>
          <w:shd w:val="clear" w:color="auto" w:fill="FFFFFF"/>
        </w:rPr>
        <w:t>位。</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环境卫生主管部门应当设置公厕导向牌，方便社会公众。</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第十一条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供水、供电部门应当保障公厕的水、电供应。</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第十二条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公厕应做到造型美观、卫生适用，有条件的公厕四周可以植树、种花、栽草，以美化环境。</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第十三条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任何单位和个人都不得侵占、损坏公厕，不得擅自拆除、迁移公厕。</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第十四条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新建、扩建、改建项目按照规定需要同时配套建设公厕的，公厕应当与主体工程同时设计、同时施工、同时交付使用。</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lastRenderedPageBreak/>
        <w:t>第十五条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独立设置的公厕竣工时，建设单位应当通知市、县（市、区）环境卫生主管部门参加验收，环境卫生主管部门对公厕是否达到使用条件进行验收。验收合格后，方可投入使用。</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按照规划要求应当配套建设公厕的建设工程竣工后，建设单位组织各参建责任主体在住房城乡建设主管部门监督下对配建公厕进行质量验收，自然资源和规划部门对配建公厕是否符合规划进行核实，环境卫生主管部门对配建公厕是否达到使用条件进行验收。验收合格后，方可投入使用。</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第十六条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公厕的日常维护管理责任分工如下：</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（一）道路两侧、广场设置的公厕，由环境卫生专业单位负责；</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（二）公园、风景名胜游览区内的公厕，由其经营管理单位负责；</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（三）公共汽车始末站、长途汽车站、地铁车站、火车站、机场、加油站、加气站的公厕，由其经营管理单位负责；</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（四）大中型商场（店）、各类市场、宾馆、饭店、娱乐场所、影剧院、体育馆（场）、展览馆、大中型停车场的公厕，由其经营管理单位负责；</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（五）住宅小区的公厕，由物业服务单位负责。</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lastRenderedPageBreak/>
        <w:t>本条第（二）、（三）、（四）、（五）项中的公厕的日常维护管理，其责任单位可以委托环境卫生专业单位实施。</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第十七条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公厕的日常保洁和维护应当符合下列标准：</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（一）公厕的保洁</w:t>
      </w:r>
      <w:r>
        <w:rPr>
          <w:rFonts w:ascii="仿宋" w:eastAsia="仿宋" w:hAnsi="仿宋" w:cs="仿宋" w:hint="eastAsia"/>
          <w:color w:val="333333"/>
          <w:sz w:val="31"/>
          <w:szCs w:val="31"/>
          <w:shd w:val="clear" w:color="auto" w:fill="FFFFFF"/>
        </w:rPr>
        <w:t>实行专人负责，有保洁管理制度；</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（二）墙面保持整洁、完好，无乱贴乱画；</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（三）各类设施、设备齐全、完好；</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（四）采光、通风良好；</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（五）保持卫生，定期进行卫生消毒；</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（六）公厕内无蝇虫，基本无臭味，地面无积水、痰迹或者烟头及纸屑等杂物，便器内无污垢、积存粪便，化粪池无满溢，墙壁和顶棚无积灰、污迹蛛网等。</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提倡公厕提供洗手液和卫生纸。有条件的公厕可以设置自动售货设备等便民设施。</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第十八条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举办大型商业、文化、公益等活动，所在地没有公厕或者现有公厕不能满足用厕需求的，举办单位应当设置临时厕所，按照标准做好保洁服务，并在活动结束后及时撤除。</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第十九条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公厕使用者应当自觉维护公厕的清洁、卫生，爱护公厕的设备、设施，禁止实施下列行为：</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lastRenderedPageBreak/>
        <w:t>（一）在公厕墙壁和其他设施上乱涂抹、刻画、张贴；</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（二）随地吐痰、乱扔杂物；</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（三）向便器、便池、粪井内倾倒污水、污物；</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（四）在便池外便溺；</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（五）损坏公厕的各项设备、设施；</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仿宋" w:eastAsia="仿宋" w:hAnsi="仿宋" w:cs="仿宋" w:hint="eastAsia"/>
          <w:color w:val="333333"/>
          <w:sz w:val="31"/>
          <w:szCs w:val="31"/>
          <w:shd w:val="clear" w:color="auto" w:fill="FFFFFF"/>
        </w:rPr>
        <w:t>（六）其他影响公厕正常使用的行为。</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公厕应当按规定时间免费开放，不得随意停用</w:t>
      </w:r>
      <w:r>
        <w:rPr>
          <w:rFonts w:ascii="仿宋" w:eastAsia="仿宋" w:hAnsi="仿宋" w:cs="仿宋" w:hint="eastAsia"/>
          <w:color w:val="333333"/>
          <w:sz w:val="31"/>
          <w:szCs w:val="31"/>
          <w:shd w:val="clear" w:color="auto" w:fill="FFFFFF"/>
        </w:rPr>
        <w:t>。因特殊情况确需临时停用的，管理单位应当公示停用期限，并采取其他临时措施。</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第二十一条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公厕规划用地范围内应当保持环境整洁，任何单位和个人不得堆放杂物、搭建其他建（构）筑物。</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第二十二条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违反本办法第十三条规定，侵占、损坏或者擅自拆除、迁移公厕的，由环境卫生主管部门责令恢复原状，处一万元以上十万元以下的罚款。</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第二十三条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违反本办法第十九条第（一）项规定的，由环境卫生主管部门予以警告，责令停止违法行为，限期清除，可以并处一百元以上一千元以下罚款；违反本办法第十九条第（二）、（三）、（四）项规定的，由环</w:t>
      </w:r>
      <w:r>
        <w:rPr>
          <w:rFonts w:ascii="仿宋" w:eastAsia="仿宋" w:hAnsi="仿宋" w:cs="仿宋" w:hint="eastAsia"/>
          <w:color w:val="333333"/>
          <w:sz w:val="31"/>
          <w:szCs w:val="31"/>
          <w:shd w:val="clear" w:color="auto" w:fill="FFFFFF"/>
        </w:rPr>
        <w:t>境卫生主管部门予以警告，责令当场清理，</w:t>
      </w:r>
      <w:r>
        <w:rPr>
          <w:rFonts w:ascii="仿宋" w:eastAsia="仿宋" w:hAnsi="仿宋" w:cs="仿宋" w:hint="eastAsia"/>
          <w:color w:val="333333"/>
          <w:sz w:val="31"/>
          <w:szCs w:val="31"/>
          <w:shd w:val="clear" w:color="auto" w:fill="FFFFFF"/>
        </w:rPr>
        <w:lastRenderedPageBreak/>
        <w:t>处二十元以上一百元以下罚款；违反本办法第十九条第</w:t>
      </w:r>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五</w:t>
      </w:r>
      <w:r>
        <w:rPr>
          <w:rFonts w:ascii="仿宋" w:eastAsia="仿宋" w:hAnsi="仿宋" w:cs="仿宋" w:hint="eastAsia"/>
          <w:color w:val="333333"/>
          <w:sz w:val="31"/>
          <w:szCs w:val="31"/>
          <w:shd w:val="clear" w:color="auto" w:fill="FFFFFF"/>
        </w:rPr>
        <w:t>)</w:t>
      </w:r>
      <w:r>
        <w:rPr>
          <w:rFonts w:ascii="仿宋" w:eastAsia="仿宋" w:hAnsi="仿宋" w:cs="仿宋" w:hint="eastAsia"/>
          <w:color w:val="333333"/>
          <w:sz w:val="31"/>
          <w:szCs w:val="31"/>
          <w:shd w:val="clear" w:color="auto" w:fill="FFFFFF"/>
        </w:rPr>
        <w:t>项规定的，由环境卫生主管部门责令恢复原状，处一百元以上五百元以下的罚款。</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第二十四条</w:t>
      </w:r>
      <w:r>
        <w:rPr>
          <w:rFonts w:ascii="黑体" w:eastAsia="黑体" w:hAnsi="宋体" w:cs="黑体"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违反本办法第二十条规定，公厕在规定开放时间随意停用的，由环境卫生主管部门责令限期改正；拒不改正的，处五百元以上一千元以下的罚款。</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第二十五条</w:t>
      </w:r>
      <w:r>
        <w:rPr>
          <w:rFonts w:ascii="黑体" w:eastAsia="黑体" w:hAnsi="宋体" w:cs="黑体"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本办法关于行政处罚的规定，在实行相对集中行政处罚权和综合执法的区域另有规定的，从其规定。</w:t>
      </w:r>
    </w:p>
    <w:p w:rsidR="00DC6B7C" w:rsidRDefault="0033631A">
      <w:pPr>
        <w:pStyle w:val="a6"/>
        <w:widowControl/>
        <w:shd w:val="clear" w:color="auto" w:fill="FFFFFF"/>
        <w:spacing w:before="75" w:beforeAutospacing="0" w:after="75" w:afterAutospacing="0" w:line="368" w:lineRule="atLeast"/>
        <w:ind w:firstLineChars="200" w:firstLine="620"/>
        <w:rPr>
          <w:rFonts w:ascii="微软雅黑" w:eastAsia="微软雅黑" w:hAnsi="微软雅黑" w:cs="微软雅黑"/>
          <w:color w:val="333333"/>
          <w:sz w:val="21"/>
          <w:szCs w:val="21"/>
        </w:rPr>
      </w:pPr>
      <w:r>
        <w:rPr>
          <w:rFonts w:ascii="黑体" w:eastAsia="黑体" w:hAnsi="宋体" w:cs="黑体" w:hint="eastAsia"/>
          <w:color w:val="333333"/>
          <w:sz w:val="31"/>
          <w:szCs w:val="31"/>
          <w:shd w:val="clear" w:color="auto" w:fill="FFFFFF"/>
        </w:rPr>
        <w:t>第二十六条</w:t>
      </w:r>
      <w:r>
        <w:rPr>
          <w:rFonts w:ascii="仿宋" w:eastAsia="仿宋" w:hAnsi="仿宋" w:cs="仿宋" w:hint="eastAsia"/>
          <w:color w:val="333333"/>
          <w:sz w:val="31"/>
          <w:szCs w:val="31"/>
          <w:shd w:val="clear" w:color="auto" w:fill="FFFFFF"/>
        </w:rPr>
        <w:t> </w:t>
      </w:r>
      <w:r>
        <w:rPr>
          <w:rFonts w:ascii="仿宋" w:eastAsia="仿宋" w:hAnsi="仿宋" w:cs="仿宋" w:hint="eastAsia"/>
          <w:color w:val="333333"/>
          <w:sz w:val="31"/>
          <w:szCs w:val="31"/>
          <w:shd w:val="clear" w:color="auto" w:fill="FFFFFF"/>
        </w:rPr>
        <w:t xml:space="preserve"> </w:t>
      </w:r>
      <w:r>
        <w:rPr>
          <w:rFonts w:ascii="仿宋" w:eastAsia="仿宋" w:hAnsi="仿宋" w:cs="仿宋" w:hint="eastAsia"/>
          <w:color w:val="333333"/>
          <w:sz w:val="31"/>
          <w:szCs w:val="31"/>
          <w:shd w:val="clear" w:color="auto" w:fill="FFFFFF"/>
        </w:rPr>
        <w:t>本办法自</w:t>
      </w:r>
      <w:r>
        <w:rPr>
          <w:rFonts w:ascii="仿宋" w:eastAsia="仿宋" w:hAnsi="仿宋" w:cs="仿宋" w:hint="eastAsia"/>
          <w:color w:val="333333"/>
          <w:sz w:val="31"/>
          <w:szCs w:val="31"/>
          <w:shd w:val="clear" w:color="auto" w:fill="FFFFFF"/>
        </w:rPr>
        <w:t>2021</w:t>
      </w:r>
      <w:r>
        <w:rPr>
          <w:rFonts w:ascii="仿宋" w:eastAsia="仿宋" w:hAnsi="仿宋" w:cs="仿宋" w:hint="eastAsia"/>
          <w:color w:val="333333"/>
          <w:sz w:val="31"/>
          <w:szCs w:val="31"/>
          <w:shd w:val="clear" w:color="auto" w:fill="FFFFFF"/>
        </w:rPr>
        <w:t>年</w:t>
      </w:r>
      <w:r>
        <w:rPr>
          <w:rFonts w:ascii="仿宋" w:eastAsia="仿宋" w:hAnsi="仿宋" w:cs="仿宋" w:hint="eastAsia"/>
          <w:color w:val="333333"/>
          <w:sz w:val="31"/>
          <w:szCs w:val="31"/>
          <w:shd w:val="clear" w:color="auto" w:fill="FFFFFF"/>
        </w:rPr>
        <w:t>3</w:t>
      </w:r>
      <w:r>
        <w:rPr>
          <w:rFonts w:ascii="仿宋" w:eastAsia="仿宋" w:hAnsi="仿宋" w:cs="仿宋" w:hint="eastAsia"/>
          <w:color w:val="333333"/>
          <w:sz w:val="31"/>
          <w:szCs w:val="31"/>
          <w:shd w:val="clear" w:color="auto" w:fill="FFFFFF"/>
        </w:rPr>
        <w:t>月</w:t>
      </w:r>
      <w:r>
        <w:rPr>
          <w:rFonts w:ascii="仿宋" w:eastAsia="仿宋" w:hAnsi="仿宋" w:cs="仿宋" w:hint="eastAsia"/>
          <w:color w:val="333333"/>
          <w:sz w:val="31"/>
          <w:szCs w:val="31"/>
          <w:shd w:val="clear" w:color="auto" w:fill="FFFFFF"/>
        </w:rPr>
        <w:t>1</w:t>
      </w:r>
      <w:r>
        <w:rPr>
          <w:rFonts w:ascii="仿宋" w:eastAsia="仿宋" w:hAnsi="仿宋" w:cs="仿宋" w:hint="eastAsia"/>
          <w:color w:val="333333"/>
          <w:sz w:val="31"/>
          <w:szCs w:val="31"/>
          <w:shd w:val="clear" w:color="auto" w:fill="FFFFFF"/>
        </w:rPr>
        <w:t>日起施行。</w:t>
      </w:r>
    </w:p>
    <w:p w:rsidR="00DC6B7C" w:rsidRDefault="00DC6B7C">
      <w:pPr>
        <w:ind w:firstLineChars="200" w:firstLine="640"/>
        <w:rPr>
          <w:rFonts w:ascii="仿宋_GB2312" w:eastAsia="仿宋_GB2312" w:hAnsi="仿宋_GB2312" w:cs="仿宋_GB2312"/>
          <w:color w:val="333333"/>
          <w:sz w:val="32"/>
          <w:szCs w:val="32"/>
          <w:shd w:val="clear" w:color="auto" w:fill="FFFFFF"/>
        </w:rPr>
      </w:pPr>
    </w:p>
    <w:sectPr w:rsidR="00DC6B7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31A" w:rsidRDefault="0033631A">
      <w:r>
        <w:separator/>
      </w:r>
    </w:p>
  </w:endnote>
  <w:endnote w:type="continuationSeparator" w:id="0">
    <w:p w:rsidR="0033631A" w:rsidRDefault="0033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B7C" w:rsidRDefault="0033631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C6B7C" w:rsidRDefault="0033631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C6B7C" w:rsidRDefault="0033631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C6B7C" w:rsidRDefault="0033631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C46AFF"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聊城市人民政府发布</w:t>
    </w:r>
    <w:r>
      <w:rPr>
        <w:rFonts w:ascii="宋体" w:eastAsia="宋体" w:hAnsi="宋体" w:cs="宋体" w:hint="eastAsia"/>
        <w:b/>
        <w:bCs/>
        <w:color w:val="005192"/>
        <w:sz w:val="28"/>
        <w:szCs w:val="44"/>
      </w:rPr>
      <w:t xml:space="preserve">     </w:t>
    </w:r>
  </w:p>
  <w:p w:rsidR="00DC6B7C" w:rsidRDefault="00DC6B7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31A" w:rsidRDefault="0033631A">
      <w:r>
        <w:separator/>
      </w:r>
    </w:p>
  </w:footnote>
  <w:footnote w:type="continuationSeparator" w:id="0">
    <w:p w:rsidR="0033631A" w:rsidRDefault="00336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B7C" w:rsidRDefault="0033631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10ADF"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DC6B7C" w:rsidRDefault="0033631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20517"/>
    <w:rsid w:val="00172A27"/>
    <w:rsid w:val="0033631A"/>
    <w:rsid w:val="00DC6B7C"/>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25634BE"/>
    <w:rsid w:val="7C4D17F6"/>
    <w:rsid w:val="7C9011D9"/>
    <w:rsid w:val="7DC651C5"/>
    <w:rsid w:val="7FCC2834"/>
    <w:rsid w:val="7FD3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CF01C"/>
  <w15:docId w15:val="{91AD37D5-C534-48BF-A432-C6D81A8E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楚圣乐</cp:lastModifiedBy>
  <cp:revision>2</cp:revision>
  <cp:lastPrinted>2021-10-26T11:30:00Z</cp:lastPrinted>
  <dcterms:created xsi:type="dcterms:W3CDTF">2022-12-14T07:45:00Z</dcterms:created>
  <dcterms:modified xsi:type="dcterms:W3CDTF">2022-12-14T07:45:00Z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