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EBEAE">
      <w:pPr>
        <w:rPr>
          <w:rFonts w:hint="eastAsia"/>
        </w:rPr>
      </w:pPr>
    </w:p>
    <w:p w14:paraId="213CB069">
      <w:pPr>
        <w:rPr>
          <w:rFonts w:hint="eastAsia"/>
        </w:rPr>
      </w:pPr>
    </w:p>
    <w:p w14:paraId="17B84A3F">
      <w:pPr>
        <w:rPr>
          <w:rFonts w:hint="eastAsia"/>
        </w:rPr>
      </w:pPr>
    </w:p>
    <w:p w14:paraId="558F4C17">
      <w:pPr>
        <w:rPr>
          <w:rFonts w:hint="eastAsia"/>
        </w:rPr>
      </w:pPr>
    </w:p>
    <w:p w14:paraId="72247F8C">
      <w:pPr>
        <w:rPr>
          <w:rFonts w:hint="eastAsia"/>
        </w:rPr>
      </w:pPr>
    </w:p>
    <w:p w14:paraId="5E028FC7">
      <w:pPr>
        <w:rPr>
          <w:rFonts w:hint="eastAsia"/>
        </w:rPr>
      </w:pPr>
    </w:p>
    <w:p w14:paraId="535AD30A">
      <w:pPr>
        <w:rPr>
          <w:rFonts w:hint="eastAsia"/>
        </w:rPr>
      </w:pPr>
    </w:p>
    <w:p w14:paraId="286006F7">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p>
    <w:p w14:paraId="16A0FCDF">
      <w:pPr>
        <w:pStyle w:val="2"/>
        <w:keepNext w:val="0"/>
        <w:keepLines w:val="0"/>
        <w:pageBreakBefore w:val="0"/>
        <w:overflowPunct/>
        <w:topLinePunct w:val="0"/>
        <w:bidi w:val="0"/>
        <w:spacing w:line="600" w:lineRule="exact"/>
        <w:jc w:val="center"/>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聊政办字〔2025〕20号</w:t>
      </w:r>
    </w:p>
    <w:p w14:paraId="182DA78B">
      <w:pPr>
        <w:rPr>
          <w:rFonts w:hint="eastAsia"/>
        </w:rPr>
      </w:pPr>
    </w:p>
    <w:p w14:paraId="35027803">
      <w:pPr>
        <w:rPr>
          <w:rFonts w:hint="eastAsia"/>
        </w:rPr>
      </w:pPr>
    </w:p>
    <w:p w14:paraId="3D07B18E">
      <w:pPr>
        <w:pStyle w:val="2"/>
        <w:jc w:val="center"/>
        <w:rPr>
          <w:rFonts w:hint="eastAsia" w:ascii="方正小标宋简体" w:hAnsi="方正小标宋简体" w:eastAsia="方正小标宋简体" w:cs="方正小标宋简体"/>
          <w:snapToGrid w:val="0"/>
          <w:color w:val="000000"/>
          <w:kern w:val="0"/>
          <w:sz w:val="44"/>
          <w:szCs w:val="44"/>
          <w:lang w:val="en-US" w:eastAsia="zh-CN" w:bidi="ar-SA"/>
        </w:rPr>
      </w:pPr>
      <w:r>
        <w:rPr>
          <w:rFonts w:hint="eastAsia" w:ascii="方正小标宋简体" w:hAnsi="方正小标宋简体" w:eastAsia="方正小标宋简体" w:cs="方正小标宋简体"/>
          <w:snapToGrid w:val="0"/>
          <w:color w:val="000000"/>
          <w:kern w:val="0"/>
          <w:sz w:val="44"/>
          <w:szCs w:val="44"/>
          <w:lang w:val="en-US" w:eastAsia="zh-CN" w:bidi="ar-SA"/>
        </w:rPr>
        <w:t>聊城市人民政府办公室</w:t>
      </w:r>
    </w:p>
    <w:p w14:paraId="1E6C1821">
      <w:pPr>
        <w:pStyle w:val="2"/>
        <w:jc w:val="center"/>
        <w:rPr>
          <w:rFonts w:hint="eastAsia" w:ascii="方正小标宋简体" w:hAnsi="方正小标宋简体" w:eastAsia="方正小标宋简体" w:cs="方正小标宋简体"/>
          <w:snapToGrid w:val="0"/>
          <w:color w:val="000000"/>
          <w:kern w:val="0"/>
          <w:sz w:val="44"/>
          <w:szCs w:val="44"/>
          <w:lang w:val="en-US" w:eastAsia="zh-CN" w:bidi="ar-SA"/>
        </w:rPr>
      </w:pPr>
      <w:r>
        <w:rPr>
          <w:rFonts w:hint="eastAsia" w:ascii="方正小标宋简体" w:hAnsi="方正小标宋简体" w:eastAsia="方正小标宋简体" w:cs="方正小标宋简体"/>
          <w:snapToGrid w:val="0"/>
          <w:color w:val="000000"/>
          <w:kern w:val="0"/>
          <w:sz w:val="44"/>
          <w:szCs w:val="44"/>
          <w:lang w:val="en-US" w:eastAsia="zh-CN" w:bidi="ar-SA"/>
        </w:rPr>
        <w:t>关于加强酒驾醉驾全链条治理的实施意见</w:t>
      </w:r>
    </w:p>
    <w:p w14:paraId="7EDEFC0F">
      <w:pPr>
        <w:rPr>
          <w:rFonts w:hint="eastAsia"/>
        </w:rPr>
      </w:pPr>
    </w:p>
    <w:p w14:paraId="5F600D8B">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各县（市、区）人民政府，市属开发区管委会，市政府有关部门、直属机构：</w:t>
      </w:r>
    </w:p>
    <w:p w14:paraId="3CC72DE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为推动道路交通安全治理模式向事前预防转型，全面提升道路交通安全综合治理能力和水平，有效防范酒驾醉驾违法犯罪行为发生，现结合我市实际，就加强我市酒驾醉驾全链条治理提出以下实施意见。</w:t>
      </w:r>
    </w:p>
    <w:p w14:paraId="1B4113BC">
      <w:pPr>
        <w:pStyle w:val="2"/>
        <w:keepNext w:val="0"/>
        <w:keepLines w:val="0"/>
        <w:pageBreakBefore w:val="0"/>
        <w:overflowPunct/>
        <w:topLinePunct w:val="0"/>
        <w:bidi w:val="0"/>
        <w:spacing w:line="600" w:lineRule="exact"/>
        <w:jc w:val="left"/>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一、加强多方联动</w:t>
      </w:r>
    </w:p>
    <w:p w14:paraId="6DD1F5FE">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健全市级常态化联动预防机制，公安、商务、文化和旅游、教育和体育、交通运输、应急管理、新闻传媒中心等部门（单位）要强化协同联动，定期开展交通安全形势专题研判。市酒店行业协会、餐饮与住宿行业协会、餐饮火锅协会等涉酒场所行业协会（以下简称“行业协会”）和代驾公司等，要积极发挥桥梁纽带作用，筑牢风险干预第一道防线。市县两级公安部门要充分发挥严打违法犯罪主力军作用，组织多警种联合行动，提升打击效能。</w:t>
      </w:r>
    </w:p>
    <w:p w14:paraId="204C2D73">
      <w:pPr>
        <w:pStyle w:val="2"/>
        <w:keepNext w:val="0"/>
        <w:keepLines w:val="0"/>
        <w:pageBreakBefore w:val="0"/>
        <w:overflowPunct/>
        <w:topLinePunct w:val="0"/>
        <w:bidi w:val="0"/>
        <w:spacing w:line="600" w:lineRule="exact"/>
        <w:jc w:val="left"/>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二、加强源头劝阻</w:t>
      </w:r>
    </w:p>
    <w:p w14:paraId="7BE06C0A">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行业协会要充分发挥教育引导作用，向餐饮酒店企业、涉酒场所发起《倡议书》，组织餐饮酒店企业、涉酒场所积极开展源头劝阻工作。市商务、文化和旅游等部门（单位）及行业协会，要在餐饮酒店企业和涉酒场所的入口、前台、电梯、包厢、餐桌等醒目位置，广泛张贴、摆放“拒绝酒驾”主题宣传海报及卡片；有条件的场所，要利用电子显示屏、广播等循环播放公益广告或提示语，营造警示劝阻酒驾的浓厚氛围。鼓励行业协会、餐饮酒店企业、涉酒场所将“拒绝酒驾”宣传和劝阻方式方法纳入从业人员培训内容，组织服务员、保安、前台等一线员工在顾客订餐、点餐、结账等环节进行温馨提示，在订餐短信中加入拒绝酒驾、安全出行等相关提示语。</w:t>
      </w:r>
    </w:p>
    <w:p w14:paraId="28907D23">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三、加强违法打击</w:t>
      </w:r>
    </w:p>
    <w:p w14:paraId="2A84C8D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县两级公安部门要对近年多次酒驾和失驾人员及其名下的车辆进行分析，形成重点人员、重点车辆清单，强化重点防控，做到隐患早发现、早预警、早处置。要以酒店、商圈、夜市周边为重点，采取定点检查与流动巡逻相结合的方式，发挥动态勤务时间灵活、打击精准的作用。要加大周末、夜间巡逻频次，常态勤务人员提前上岗，延展查处时间，织严织密管控网络。</w:t>
      </w:r>
    </w:p>
    <w:p w14:paraId="53889187">
      <w:pPr>
        <w:pStyle w:val="2"/>
        <w:keepNext w:val="0"/>
        <w:keepLines w:val="0"/>
        <w:pageBreakBefore w:val="0"/>
        <w:overflowPunct/>
        <w:topLinePunct w:val="0"/>
        <w:bidi w:val="0"/>
        <w:spacing w:line="600" w:lineRule="exact"/>
        <w:jc w:val="left"/>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四、加强溯源管理</w:t>
      </w:r>
    </w:p>
    <w:p w14:paraId="0D053EC4">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市县两级公安部门要对酒驾醉驾违法犯罪行为组织开展溯源调查，落实涉酒案件“八必查”（饮酒场所必查、饮酒时间必查、行驶路线必查、驾驶资质必查、车辆及车主情况必查、同饮酒人情况必查、涉酒场所宣传提示及劝阻情况必查、同车人必查）制度。依法依规将酒驾醉驾行为人的相关违法犯罪信息通知其家属、所在单位；对职业驾驶人酒驾醉驾的，依法依规通知其所在单位，建议调整其工作岗位。对醉酒驾驶导致的交通事故和涉及运输企业驾驶人酒驾导致的亡人安全生产事故，开展深度调查。</w:t>
      </w:r>
    </w:p>
    <w:p w14:paraId="29883AF9">
      <w:pPr>
        <w:pStyle w:val="2"/>
        <w:keepNext w:val="0"/>
        <w:keepLines w:val="0"/>
        <w:pageBreakBefore w:val="0"/>
        <w:overflowPunct/>
        <w:topLinePunct w:val="0"/>
        <w:bidi w:val="0"/>
        <w:spacing w:line="600" w:lineRule="exact"/>
        <w:jc w:val="left"/>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五、加强宣传警示</w:t>
      </w:r>
    </w:p>
    <w:p w14:paraId="78C66C9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对多次酒驾醉驾或因酒驾醉驾发生交通事故的重点人员，在节假日等重要时间节点前，开展“点对点”短信提醒教育。拓展宣传教育阵地，创新宣传形式内容，围绕严厉打击酒驾醉驾等重点交通违法主题，策划制作一批形式新颖、喜闻乐见的短视频，精确传递“拒绝酒驾”安全理念，提高社会影响力。利用农村大喇叭在“一早一晚”“红白喜事”等重点时段和特定场合开展拒绝酒驾醉驾集中劝导。充分利用“12345”、交管“12123”等服务热线平台，向群众普及酒驾醉驾处罚标准及社会危害等相关知识。</w:t>
      </w:r>
    </w:p>
    <w:p w14:paraId="44BDDB32">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　六、加强社会参与</w:t>
      </w:r>
    </w:p>
    <w:p w14:paraId="6BA4B7BC">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畅通违法举报渠道，任何单位和个人均可通过“文明交通随手拍”应用程序或“122”交通事故报警服务热线，向市县两级公安部门举报酒驾醉驾等交通违法犯罪行为。对制止酒驾醉驾行为有突出表现的，市县两级公安部门要联合相关部门（单位）予以奖励。教育和体育、公安等部门（单位）要持续开展校园交通安全宣传，丰富互动学习方式，通过师生带动提</w:t>
      </w:r>
      <w:bookmarkStart w:id="0" w:name="_GoBack"/>
      <w:bookmarkEnd w:id="0"/>
      <w:r>
        <w:rPr>
          <w:rFonts w:hint="eastAsia" w:ascii="仿宋_GB2312" w:hAnsi="仿宋_GB2312" w:eastAsia="仿宋_GB2312" w:cs="仿宋_GB2312"/>
          <w:snapToGrid w:val="0"/>
          <w:color w:val="auto"/>
          <w:kern w:val="0"/>
          <w:sz w:val="32"/>
          <w:szCs w:val="32"/>
          <w:lang w:val="en-US" w:eastAsia="zh-CN" w:bidi="ar-SA"/>
        </w:rPr>
        <w:t>高家长的交通安全意识。市县两级公安部门要邀请有影响力的社会自媒体，以“零距离”跟随方式，实时记录展现公安部门开展酒驾醉驾专项行动的全过程，通过第三方视角客观、真实反映执法工作。</w:t>
      </w:r>
    </w:p>
    <w:p w14:paraId="4164BF97">
      <w:pPr>
        <w:pStyle w:val="2"/>
        <w:keepNext w:val="0"/>
        <w:keepLines w:val="0"/>
        <w:pageBreakBefore w:val="0"/>
        <w:overflowPunct/>
        <w:topLinePunct w:val="0"/>
        <w:bidi w:val="0"/>
        <w:spacing w:line="600" w:lineRule="exact"/>
        <w:jc w:val="left"/>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pPr>
      <w:r>
        <w:rPr>
          <w:rFonts w:hint="eastAsia" w:ascii="仿宋_GB2312" w:hAnsi="仿宋_GB2312" w:eastAsia="仿宋_GB2312" w:cs="仿宋_GB2312"/>
          <w:snapToGrid w:val="0"/>
          <w:color w:val="auto"/>
          <w:kern w:val="0"/>
          <w:sz w:val="32"/>
          <w:szCs w:val="32"/>
          <w:lang w:val="en-US" w:eastAsia="zh-CN" w:bidi="ar-SA"/>
        </w:rPr>
        <w:t>　　</w:t>
      </w:r>
      <w:r>
        <w:rPr>
          <w:rStyle w:val="5"/>
          <w:rFonts w:hint="eastAsia" w:ascii="黑体" w:hAnsi="黑体" w:eastAsia="黑体" w:cs="黑体"/>
          <w:color w:val="000000" w:themeColor="text1"/>
          <w:kern w:val="0"/>
          <w:sz w:val="32"/>
          <w:szCs w:val="32"/>
          <w:highlight w:val="none"/>
          <w:lang w:val="en-US" w:eastAsia="zh-CN"/>
          <w14:textFill>
            <w14:solidFill>
              <w14:schemeClr w14:val="tx1"/>
            </w14:solidFill>
          </w14:textFill>
        </w:rPr>
        <w:t>七、加强组织实施</w:t>
      </w:r>
    </w:p>
    <w:p w14:paraId="1BD20C47">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各级各部门要切实提高政治站位，充分认识开展酒驾醉驾全链条治理的重要性，加强组织实施，强化协同配合，结合实际抓好贯彻落实。市道路交通安全综合治理委员会要加强对各成员单位的统筹协调，市公安部门要做好相关业务指导，确保执法期间严格规范公正文明执法。　</w:t>
      </w:r>
    </w:p>
    <w:p w14:paraId="20B5D11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389B2731">
      <w:pPr>
        <w:pStyle w:val="2"/>
        <w:keepNext w:val="0"/>
        <w:keepLines w:val="0"/>
        <w:pageBreakBefore w:val="0"/>
        <w:wordWrap w:val="0"/>
        <w:overflowPunct/>
        <w:topLinePunct w:val="0"/>
        <w:bidi w:val="0"/>
        <w:spacing w:line="600" w:lineRule="exact"/>
        <w:jc w:val="right"/>
        <w:rPr>
          <w:rFonts w:hint="default"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 xml:space="preserve">聊城市人民政府办公室 </w:t>
      </w:r>
    </w:p>
    <w:p w14:paraId="307A203F">
      <w:pPr>
        <w:pStyle w:val="2"/>
        <w:keepNext w:val="0"/>
        <w:keepLines w:val="0"/>
        <w:pageBreakBefore w:val="0"/>
        <w:overflowPunct/>
        <w:topLinePunct w:val="0"/>
        <w:bidi w:val="0"/>
        <w:spacing w:line="600" w:lineRule="exact"/>
        <w:jc w:val="right"/>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2025年12月27日</w:t>
      </w:r>
    </w:p>
    <w:p w14:paraId="5ECE5E62">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auto"/>
          <w:kern w:val="0"/>
          <w:sz w:val="32"/>
          <w:szCs w:val="32"/>
          <w:lang w:val="en-US" w:eastAsia="zh-CN" w:bidi="ar-SA"/>
        </w:rPr>
        <w:t>（此件公开发布）　　</w:t>
      </w:r>
    </w:p>
    <w:p w14:paraId="2E64C00D">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4AD303A0">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78B03389">
      <w:pPr>
        <w:pStyle w:val="2"/>
        <w:keepNext w:val="0"/>
        <w:keepLines w:val="0"/>
        <w:pageBreakBefore w:val="0"/>
        <w:overflowPunct/>
        <w:topLinePunct w:val="0"/>
        <w:bidi w:val="0"/>
        <w:spacing w:line="600" w:lineRule="exact"/>
        <w:jc w:val="left"/>
        <w:rPr>
          <w:rFonts w:hint="eastAsia" w:ascii="仿宋_GB2312" w:hAnsi="仿宋_GB2312" w:eastAsia="仿宋_GB2312" w:cs="仿宋_GB2312"/>
          <w:snapToGrid w:val="0"/>
          <w:color w:val="auto"/>
          <w:kern w:val="0"/>
          <w:sz w:val="32"/>
          <w:szCs w:val="32"/>
          <w:lang w:val="en-US" w:eastAsia="zh-CN" w:bidi="ar-SA"/>
        </w:rPr>
      </w:pPr>
    </w:p>
    <w:p w14:paraId="0009F412">
      <w:pPr>
        <w:pStyle w:val="2"/>
        <w:keepNext w:val="0"/>
        <w:keepLines w:val="0"/>
        <w:pageBreakBefore w:val="0"/>
        <w:overflowPunct/>
        <w:topLinePunct w:val="0"/>
        <w:bidi w:val="0"/>
        <w:spacing w:line="600" w:lineRule="exact"/>
        <w:jc w:val="center"/>
      </w:pPr>
      <w:r>
        <w:rPr>
          <w:rFonts w:hint="eastAsia" w:ascii="仿宋_GB2312" w:hAnsi="仿宋_GB2312" w:eastAsia="仿宋_GB2312" w:cs="仿宋_GB2312"/>
          <w:snapToGrid w:val="0"/>
          <w:color w:val="auto"/>
          <w:kern w:val="0"/>
          <w:sz w:val="32"/>
          <w:szCs w:val="32"/>
          <w:lang w:val="en-US" w:eastAsia="zh-CN" w:bidi="ar-SA"/>
        </w:rPr>
        <w:t>聊城市人民政府办公室           2025年12月29日印发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661D5C"/>
    <w:rsid w:val="200224D8"/>
    <w:rsid w:val="29661D5C"/>
    <w:rsid w:val="3D6C09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character" w:customStyle="1" w:styleId="5">
    <w:name w:val="NormalCharacter"/>
    <w:qFormat/>
    <w:uiPriority w:val="0"/>
    <w:rPr>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1718</Words>
  <Characters>1742</Characters>
  <Lines>0</Lines>
  <Paragraphs>0</Paragraphs>
  <TotalTime>20</TotalTime>
  <ScaleCrop>false</ScaleCrop>
  <LinksUpToDate>false</LinksUpToDate>
  <CharactersWithSpaces>1787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2026-01-05T00:46:00Z</dcterms:created>
  <dc:creator>Eason</dc:creator>
  <cp:lastModifiedBy>Eason</cp:lastModifiedBy>
  <dcterms:modified xsi:type="dcterms:W3CDTF">2026-01-05T01:10:24Z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35DC947D4D944D1C926706B1B5CECB3D_11</vt:lpwstr>
  </property>
  <property fmtid="{D5CDD505-2E9C-101B-9397-08002B2CF9AE}" pid="4" name="KSOTemplateDocerSaveRecord">
    <vt:lpwstr>eyJoZGlkIjoiNGM3ZWY3NGIyMzM1MWYyYTk5MmY0ZjEzNWU1ODllNWQiLCJ1c2VySWQiOiIzNTU4NjU1MzAifQ==</vt:lpwstr>
  </property>
</Properties>
</file>