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聊政字〔2025〕22号</w:t>
      </w:r>
    </w:p>
    <w:p>
      <w:pPr>
        <w:pStyle w:val="3"/>
        <w:rPr>
          <w:rFonts w:hint="eastAsia"/>
        </w:rPr>
      </w:pPr>
    </w:p>
    <w:p>
      <w:pPr>
        <w:pStyle w:val="3"/>
        <w:rPr>
          <w:rFonts w:hint="eastAsia"/>
        </w:rPr>
      </w:pPr>
    </w:p>
    <w:p>
      <w:pPr>
        <w:pStyle w:val="3"/>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关于印发聊城市贯彻落实“四水四定”</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实施方案的通知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bookmarkStart w:id="0" w:name="_GoBack"/>
      <w:bookmarkEnd w:id="0"/>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现将《聊城市贯彻落实“四水四定”实施方案》印发给你们，请认真贯彻执行。</w:t>
      </w:r>
    </w:p>
    <w:p>
      <w:pPr>
        <w:pStyle w:val="3"/>
        <w:keepNext w:val="0"/>
        <w:keepLines w:val="0"/>
        <w:pageBreakBefore w:val="0"/>
        <w:wordWrap w:val="0"/>
        <w:overflowPunct/>
        <w:topLinePunct w:val="0"/>
        <w:bidi w:val="0"/>
        <w:spacing w:line="600" w:lineRule="exact"/>
        <w:jc w:val="right"/>
        <w:rPr>
          <w:rFonts w:hint="default"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聊城市人民政府        </w:t>
      </w:r>
    </w:p>
    <w:p>
      <w:pPr>
        <w:pStyle w:val="3"/>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2025年11月27日</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聊城市贯彻落实“四水四定”实施方案</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为深入贯彻习近平总书记“节水优先、空间均衡、系统治理、两手发力”治水思路和关于治水的重要论述精神，积极落实以水定城、以水定地、以水定人、以水定产（以下简称“四水四定”）原则，现结合我市实际，制定本方案。</w:t>
      </w:r>
    </w:p>
    <w:p>
      <w:pPr>
        <w:pStyle w:val="3"/>
        <w:keepNext w:val="0"/>
        <w:keepLines w:val="0"/>
        <w:pageBreakBefore w:val="0"/>
        <w:overflowPunct/>
        <w:topLinePunct w:val="0"/>
        <w:bidi w:val="0"/>
        <w:spacing w:line="600" w:lineRule="exact"/>
        <w:outlineLvl w:val="0"/>
        <w:rPr>
          <w:rStyle w:val="6"/>
          <w:rFonts w:hint="eastAsia" w:ascii="黑体" w:hAnsi="黑体" w:eastAsia="黑体" w:cs="黑体"/>
          <w:color w:val="000000" w:themeColor="text1"/>
          <w:kern w:val="0"/>
          <w:sz w:val="32"/>
          <w:szCs w:val="32"/>
          <w:highlight w:val="none"/>
          <w:lang w:val="en-US" w:eastAsia="zh-CN"/>
        </w:rPr>
      </w:pPr>
      <w:r>
        <w:rPr>
          <w:rStyle w:val="6"/>
          <w:rFonts w:hint="eastAsia" w:ascii="黑体" w:hAnsi="黑体" w:eastAsia="黑体" w:cs="黑体"/>
          <w:color w:val="000000" w:themeColor="text1"/>
          <w:kern w:val="0"/>
          <w:sz w:val="32"/>
          <w:szCs w:val="32"/>
          <w:highlight w:val="none"/>
          <w:lang w:val="en-US" w:eastAsia="zh-CN"/>
        </w:rPr>
        <w:t>　　一、建立水资源刚性约束体系</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（一）建立刚性约束制度。</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加强用水总量和强度双控，严守水资源可利用量“红线”。严格河湖生态水量约束，科学确定重点河湖重要控制断面基本生态流量保障目标，健全监测预警机制，强化调度管理；严格地下水双控指标约束；严格规划管控约束，落实规划水资源论证制度，规范规划审批；严格取水许可，加强事中事后监管。到2027年，全市用水总量控制在20亿立方米以内；万元国内生产总值用水量、万元工业增加值用水量分别控制在47.5立方米和14.9立方米以内，较2024年分别下降12.5%、7%。（责任单位：市水利局、市自然资源和规划局、市行政审批局、市统计局）</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6"/>
          <w:rFonts w:hint="eastAsia" w:ascii="楷体_GB2312" w:hAnsi="楷体_GB2312" w:eastAsia="楷体_GB2312" w:cs="楷体_GB2312"/>
          <w:b w:val="0"/>
          <w:bCs w:val="0"/>
          <w:color w:val="000000"/>
          <w:kern w:val="0"/>
          <w:sz w:val="32"/>
          <w:szCs w:val="32"/>
          <w:lang w:val="en-US" w:eastAsia="zh-CN"/>
        </w:rPr>
        <w:t>（二）织密立体式取水监测网络。</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持续扩大取水监测覆盖范围，全面提升监测数据质量。对年取用水量达到规模标准的取用水单位和个人，按技术规范建设远程在线计量监测设施，并与国家水资源管理信息系统实现实时联网、数据同步传输，确保监测数据真实、准确、完整，为水资源精细化管理提供可靠数据支撑。（责任单位：市水利局）</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6"/>
          <w:rFonts w:hint="eastAsia" w:ascii="楷体_GB2312" w:hAnsi="楷体_GB2312" w:eastAsia="楷体_GB2312" w:cs="楷体_GB2312"/>
          <w:b w:val="0"/>
          <w:bCs w:val="0"/>
          <w:color w:val="000000"/>
          <w:kern w:val="0"/>
          <w:sz w:val="32"/>
          <w:szCs w:val="32"/>
          <w:lang w:val="en-US" w:eastAsia="zh-CN"/>
        </w:rPr>
        <w:t>（三）提升取用水精准管控水平。</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利用取水监测网络数据，深度分析水资源供需平衡态势、用水效率演变规律及节水潜力趋势，为水行政管理决策、用水需求动态调控提供精准化科学依据。（责任单位：市水利局）</w:t>
      </w:r>
    </w:p>
    <w:p>
      <w:pPr>
        <w:pStyle w:val="3"/>
        <w:keepNext w:val="0"/>
        <w:keepLines w:val="0"/>
        <w:pageBreakBefore w:val="0"/>
        <w:overflowPunct/>
        <w:topLinePunct w:val="0"/>
        <w:bidi w:val="0"/>
        <w:spacing w:line="600" w:lineRule="exact"/>
        <w:outlineLvl w:val="0"/>
        <w:rPr>
          <w:rStyle w:val="6"/>
          <w:rFonts w:hint="eastAsia" w:ascii="黑体" w:hAnsi="黑体" w:eastAsia="黑体" w:cs="黑体"/>
          <w:color w:val="000000" w:themeColor="text1"/>
          <w:kern w:val="0"/>
          <w:sz w:val="32"/>
          <w:szCs w:val="32"/>
          <w:highlight w:val="none"/>
          <w:lang w:val="en-US" w:eastAsia="zh-CN"/>
        </w:rPr>
      </w:pPr>
      <w:r>
        <w:rPr>
          <w:rStyle w:val="6"/>
          <w:rFonts w:hint="eastAsia" w:ascii="黑体" w:hAnsi="黑体" w:eastAsia="黑体" w:cs="黑体"/>
          <w:color w:val="000000" w:themeColor="text1"/>
          <w:kern w:val="0"/>
          <w:sz w:val="32"/>
          <w:szCs w:val="32"/>
          <w:highlight w:val="none"/>
          <w:lang w:val="en-US" w:eastAsia="zh-CN"/>
        </w:rPr>
        <w:t>　　二、提升多水源优化配置能力</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（一）构建“五水统筹”配置格局。</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加快推动农田供水网络升级，通过农村支渠互联、坑塘整治，不断提高灌溉、排涝能力及蓄水能力。推进城乡供水网络一体化，实施城镇、农村供水保障工程，加快现代水网建设；加快再生水配套工程建设，补齐城乡输配水短板。推动防洪减灾网络升级，实施“骨—干—支”联通工程，增强联合调度能力。以“三网”为基础，以黄河水、长江水“双水互补”为重点，加快构建科学的引黄水、引江水、地下水、地表水、再生水“五水”统筹配置格局。（责任单位：市水利局、市城管局、市农业农村局）</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（二）拓展非常规水利用场景。</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统筹推进雨洪水、再生水综合利用工程建设，坚持“两水开源”。针对雨洪水，促渗补源，拦蓄增效，系统推进骨干河道与中小河流雨洪资源开发利用及拦河闸坝工程建设，科学拦蓄雨洪径流，有效提升徒骇河、马颊河、漳卫河等河道槽蓄能力。拓展雨洪资源收集、回灌和利用场景。城镇建设中，利用透水铺装、下沉式绿地、雨水花园等设施增强雨水资源涵养能力和综合利用效率；加强云端水资源开发利用，加快推进人工影响天气作业站点标准化建设，提高人工增雨雪作业能力。（责任单位：市水利局、市住房城乡建设局、市气象局）。针对再生水，完善再生水管网布局，提高工业冷却、洗涤等环节的再生水使用比例，全面推进景观生态补水、市政杂用（道路清扫、绿化浇灌等）采用再生水。加快污水处理厂提标改造，加大再生水利用力度，对已具备再生水利用条件的单位和项目，严格控制新增取水许可审批，提高再生水利用率。到2027年，城市再生水利用率达到57%，城市污水处理厂提标改造完成率达到85%。（责任单位：市水利局、市城管局、市工业和信息化局、市行政审批局）</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6"/>
          <w:rFonts w:hint="eastAsia" w:ascii="楷体_GB2312" w:hAnsi="楷体_GB2312" w:eastAsia="楷体_GB2312" w:cs="楷体_GB2312"/>
          <w:b w:val="0"/>
          <w:bCs w:val="0"/>
          <w:color w:val="000000"/>
          <w:kern w:val="0"/>
          <w:sz w:val="32"/>
          <w:szCs w:val="32"/>
          <w:lang w:val="en-US" w:eastAsia="zh-CN"/>
        </w:rPr>
        <w:t>（三）建设实时调度孪生平台。</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依托数字孪生技术，运用数学模型与三维可视化手段，对水资源系统进行全要素数字化映射，直观呈现水资源时空演变与系统运行状态。融合需水预测模型、可供水量分析模型、水资源高效配置模型及水资源调度模型等专业模型，开展水资源变化趋势仿真模拟和承载能力分析，打造聊城市水利智慧管理平台。（责任单位：市水利局、市大数据局）</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6"/>
          <w:rFonts w:hint="eastAsia" w:ascii="黑体" w:hAnsi="黑体" w:eastAsia="黑体" w:cs="黑体"/>
          <w:color w:val="000000" w:themeColor="text1"/>
          <w:kern w:val="0"/>
          <w:sz w:val="32"/>
          <w:szCs w:val="32"/>
          <w:highlight w:val="none"/>
          <w:lang w:val="en-US" w:eastAsia="zh-CN"/>
        </w:rPr>
        <w:t>　三、提高水资源利用综合效能</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（一）促进节水型社会先行区建设。</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健全节水型社会建设协调机制，通过部门协同联动，创新发展节水产业，有序推进农业农村节水增效、工业节水减排、城镇生活节水降损。农业要积极发展智慧灌溉，推广水肥一体化及管灌、滴灌等高效节水灌溉技术，通过促进土地流转、加强农业基础设施建设、培育新型经营主体等措施，有序推进农业规模化发展。工业要推广先进节水技术、工艺和产品，鼓励企业积极申报重点用水企业水效领跑者，提高水资源重复利用率，到2027年，规模以上工业用水重复利用率达到94%；聊城化工产业园、莘县化工产业园、茌平化工产业园等化工园区稳步推进循环水系统改造工程，到2027年，化工园区非常规水源配置率力争达到35%。加快城镇供水管网漏损治理，严控洗车、洗浴等高耗水服务业用水，将水资源节约与保护内容纳入国民素质教育、中小学教育，到2027年，城镇公共供水管网漏损率控制在7.7%以内。（责任单位：市水利局、市农业农村局、市工业和信息化局、市城管局、市教育体育局）</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（二）推进地热能科学化利用。</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严格落实关于推进地热能开发利用的有关规定，科学有序推进中深层地热能开发利用。在地热能适宜开发地区，优先采用“井下无干扰换热、取热不取水”的开发利用方式；确需取水的，推行“同层等量回灌、取热不耗水”技术，促进地下水保护。对抽取地热水用于温泉洗浴的经营性开发项目，要严格行政许可，有限度开采使用。（责任单位：市水利局、市自然资源和规划局、市行政审批局）</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（三）推动水生态环境系统性治理。</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坚持“保水质、增颜值”并举，持续深入打好碧水保卫战。持续强化雨污分流和黑臭水体治理工作，尽快实现城市建成区雨污合流管网清零、黑臭水体清零，东昌府区、茌平区、临清市、莘县、阳谷县、高唐县实现整县（市、区）制雨污合流管网清零。（责任单位：市生态环境局、市住房城乡建设局、市城管局）</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　</w:t>
      </w:r>
      <w:r>
        <w:rPr>
          <w:rStyle w:val="6"/>
          <w:rFonts w:hint="eastAsia" w:ascii="黑体" w:hAnsi="黑体" w:eastAsia="黑体" w:cs="黑体"/>
          <w:color w:val="000000" w:themeColor="text1"/>
          <w:kern w:val="0"/>
          <w:sz w:val="32"/>
          <w:szCs w:val="32"/>
          <w:highlight w:val="none"/>
          <w:lang w:val="en-US" w:eastAsia="zh-CN"/>
        </w:rPr>
        <w:t>　四、强化水安全保障项目支撑</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（一）加快市级现代化水网建设。</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重点推动骨干河道提升和中小河流治理、水库等现代水网工程配套，加快徒骇河、马颊河、金堤河、漳卫河综合治理及长顺渠、赵牛新河、新金线河、西新河中小河流治理进程；推动冠县大沙河水库及其配套工程尽快建成发挥效益；推进莘县马村水库前期工作；论证东阿县胶城水库、阳谷县景阳冈水库建设的必要性，增加区域供水能力。进一步完善循环畅通、多源互补的现代水利基础设施网络，全面提升水安全保障能力。（责任单位：市水利局、市发展改革委、市自然资源和规划局）</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（二）实施大中型灌区现代化改造。</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持续推进位山、彭楼、陶城铺、郭口等4个大型灌区和班庄、仲子庙等2个中型灌区现代化改造。加强部门协作，统筹灌区改造和高标准农田建设，建设从水源到田间完整的高标准灌排工程体系，推广高效节水灌溉技术, 提高灌溉水利用效率和效益。到2027年，累计改造完成高标准农田70万亩；新增高效节水灌溉面积10万亩；农田灌溉水有效利用系数达到0.64。（责任单位：市水利局、市农业农村局、市发展改革委）</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（三）完善城乡一体化供水工程。</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加快推进“聊茌东”一体化供水工程体系建设，按照“优水优用”原则，通过实施水库连通、配套供配水设施、新建水库等措施优化区域水资源配置，鼓励工业企业优先使用再生水、长江水，东阿地下水用于保障城乡居民生活用水，提升“聊茌东”居民生活、工业供水能力。全面实施城区“降损惠民”工程，结合城市更新、老旧小区改造和二次供水设施改造等项目，加快推进城市老旧供水管网改造。推进农村供水“安装、维修、服务、缴费”4个直管到户，提高“县域统管”质效。（责任单位：市水利局、市城管局、市住房城乡建设局）</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（四）强化全域水生态安全保障。</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稳步推进地下水超采区治理，促进地下水位持续回升，实现地下水采补平衡，地下水生态有效改善。持续开展幸福河湖保护与建设工作，坚持建管并重，落实动态管理和长效管护要求。多水源保障骨干河道生态基流。鼓励社会资本通过特许经营等模式，投资建设和参与运营水生态产业项目。（责任单位：市水利局、市发展改革委）</w:t>
      </w:r>
    </w:p>
    <w:p>
      <w:pPr>
        <w:pStyle w:val="3"/>
        <w:keepNext w:val="0"/>
        <w:keepLines w:val="0"/>
        <w:pageBreakBefore w:val="0"/>
        <w:overflowPunct/>
        <w:topLinePunct w:val="0"/>
        <w:bidi w:val="0"/>
        <w:spacing w:line="600" w:lineRule="exact"/>
        <w:outlineLvl w:val="0"/>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6"/>
          <w:rFonts w:hint="eastAsia" w:ascii="黑体" w:hAnsi="黑体" w:eastAsia="黑体" w:cs="黑体"/>
          <w:color w:val="000000" w:themeColor="text1"/>
          <w:kern w:val="0"/>
          <w:sz w:val="32"/>
          <w:szCs w:val="32"/>
          <w:highlight w:val="none"/>
          <w:lang w:val="en-US" w:eastAsia="zh-CN"/>
        </w:rPr>
        <w:t>　五、深化改革赋能水利发展</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（一）探索水权交易改革。</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加快构建区域用水权初始分配制度体系，科学核定黄河水、长江水、地下水、地表水等多水源可分配水量，综合考虑区域人口规模、产业布局、生态需求等因素，公平合理确定用水权初始分配指标。积极探索多元化水权交易模式，推动跨区域、跨行业、跨主体的水权交易实践，通过水权转让、租赁、回购等多种形式，激活存量水资源市场价值，实现水资源在市场机制下的优化配置与高效流转，以市场化手段促进水资源的集约节约利用和可持续发展。（责任单位：市水利局）</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6"/>
          <w:rFonts w:hint="eastAsia" w:ascii="楷体_GB2312" w:hAnsi="楷体_GB2312" w:eastAsia="楷体_GB2312" w:cs="楷体_GB2312"/>
          <w:b w:val="0"/>
          <w:bCs w:val="0"/>
          <w:color w:val="000000"/>
          <w:kern w:val="0"/>
          <w:sz w:val="32"/>
          <w:szCs w:val="32"/>
          <w:lang w:val="en-US" w:eastAsia="zh-CN"/>
        </w:rPr>
        <w:t>（二）规范综合水价改革。</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统筹推进黄河水、长江水、地表水综合水价改革，优化水资源配置，促进用水公平公正，激发全社会节水内生动力。对城镇居民生活用水及具备条件的农村居民生活用水，严格落实阶梯水价制度，通过价格杠杆引导居民形成节水习惯；对非居民用水实行超定额累进加价，加强用水管理，提升用水效率。水费收益用于支持节水设施建设、技术研发推广及节水管理体系完善，形成“以价促节、以节增收、以收补建”的良性循环。探索建立水生态产品价值评估体系，科学评估水生态产品的价值，促进水生态产品价值实现。（责任单位：市发展改革委、市水利局）</w:t>
      </w:r>
    </w:p>
    <w:p>
      <w:pPr>
        <w:pStyle w:val="3"/>
        <w:keepNext w:val="0"/>
        <w:keepLines w:val="0"/>
        <w:pageBreakBefore w:val="0"/>
        <w:overflowPunct/>
        <w:topLinePunct w:val="0"/>
        <w:bidi w:val="0"/>
        <w:spacing w:line="600" w:lineRule="exact"/>
        <w:rPr>
          <w:rStyle w:val="6"/>
          <w:rFonts w:hint="eastAsia" w:ascii="楷体_GB2312" w:hAnsi="楷体_GB2312" w:eastAsia="楷体_GB2312" w:cs="楷体_GB2312"/>
          <w:b w:val="0"/>
          <w:bCs w:val="0"/>
          <w:color w:val="000000"/>
          <w:kern w:val="0"/>
          <w:sz w:val="32"/>
          <w:szCs w:val="32"/>
          <w:lang w:val="en-US" w:eastAsia="zh-CN"/>
        </w:rPr>
      </w:pPr>
      <w:r>
        <w:rPr>
          <w:rStyle w:val="6"/>
          <w:rFonts w:hint="eastAsia" w:ascii="楷体_GB2312" w:hAnsi="楷体_GB2312" w:eastAsia="楷体_GB2312" w:cs="楷体_GB2312"/>
          <w:b w:val="0"/>
          <w:bCs w:val="0"/>
          <w:color w:val="000000"/>
          <w:kern w:val="0"/>
          <w:sz w:val="32"/>
          <w:szCs w:val="32"/>
          <w:lang w:val="en-US" w:eastAsia="zh-CN"/>
        </w:rPr>
        <w:t>　　（三）创新节水机制。</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深化水资源税改革，推动落实节水税收优惠政策。加强组织领导，建立协作机制，组织开展工业用水效率达到国家用水定额先进值纳税人认定工作。（责任单位：市水利局、市税务局、市财政局）积极探索推进“水预算”管理工作，协同推进用水计量设施、适应性节水改造工程等建设。结合再生水利用、农业水价综合改革、水权交易，在工业、农业、服务业等重点领域全面推广合同节水管理，丰富拓展应用场景，创新“合同节水+”模式。强化供需双方信息对接，全面推动实施合同节水管理项目。设立“节水贷”专项金融服务，优先向水效领跑者、使用成熟节水技术与装备的主体、节水生产服务企业倾斜，缓解节水项目资金压力。（责任单位：市水利局、市财政局、中国人民银行聊城市分行）</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6"/>
          <w:rFonts w:hint="eastAsia" w:ascii="楷体_GB2312" w:hAnsi="楷体_GB2312" w:eastAsia="楷体_GB2312" w:cs="楷体_GB2312"/>
          <w:b w:val="0"/>
          <w:bCs w:val="0"/>
          <w:color w:val="000000"/>
          <w:kern w:val="0"/>
          <w:sz w:val="32"/>
          <w:szCs w:val="32"/>
          <w:lang w:val="en-US" w:eastAsia="zh-CN"/>
        </w:rPr>
        <w:t>　（四）健全跨部门协同决策机制。</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聊城市水资源管理委员会要充分发挥牵头抓总作用，统筹涉水事务管理，打破多头管理局面，构建纵向贯通、横向协同的工作格局。要及时组织有关成员单位研究解决落实“四水四定”工作中的重点、难点及其他需要协商解决的问题，形成共抓、共管、共治、共享的强大合力。（责任单位：市水利局）</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各县（市、区）人民政府、市属开发区管委会要加强对水资源开发利用和保护的组织领导，继续深化完善水权市场化改革和水价机制改革，提升水资源要素配置水平；要吸收先进的水利科技成果，结合实际情况进行转化应用。各部门（单位）要结合自身职能，落实“管行业必须管节水、管区域必须管节水、管用水必须管节水”要求，细化目标任务，形成工作合力，确保“四水四定”主要任务目标落实落地。</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附件：聊城市落实“四水四定”主要任务目标表附件</w:t>
      </w: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widowControl/>
        <w:suppressAutoHyphens/>
        <w:bidi w:val="0"/>
        <w:spacing w:line="600" w:lineRule="exact"/>
        <w:jc w:val="center"/>
        <w:textAlignment w:val="center"/>
        <w:rPr>
          <w:rFonts w:hint="default" w:ascii="Times New Roman" w:hAnsi="Times New Roman" w:cs="Times New Roman"/>
          <w:b/>
          <w:bCs/>
          <w:color w:val="auto"/>
          <w:kern w:val="0"/>
          <w:sz w:val="36"/>
          <w:szCs w:val="36"/>
          <w:lang w:bidi="ar"/>
        </w:rPr>
      </w:pPr>
    </w:p>
    <w:p>
      <w:pPr>
        <w:widowControl/>
        <w:suppressAutoHyphens/>
        <w:bidi w:val="0"/>
        <w:spacing w:line="600" w:lineRule="exact"/>
        <w:jc w:val="center"/>
        <w:textAlignment w:val="center"/>
        <w:rPr>
          <w:rFonts w:hint="default" w:ascii="Times New Roman" w:hAnsi="Times New Roman" w:cs="Times New Roman"/>
          <w:b/>
          <w:bCs/>
          <w:color w:val="auto"/>
          <w:kern w:val="0"/>
          <w:sz w:val="36"/>
          <w:szCs w:val="36"/>
          <w:lang w:bidi="ar"/>
        </w:rPr>
      </w:pPr>
    </w:p>
    <w:p>
      <w:pPr>
        <w:widowControl/>
        <w:suppressAutoHyphens/>
        <w:bidi w:val="0"/>
        <w:spacing w:line="600" w:lineRule="exact"/>
        <w:jc w:val="center"/>
        <w:textAlignment w:val="center"/>
        <w:rPr>
          <w:rFonts w:hint="default" w:ascii="Times New Roman" w:hAnsi="Times New Roman" w:cs="Times New Roman"/>
          <w:b/>
          <w:bCs/>
          <w:color w:val="auto"/>
          <w:kern w:val="0"/>
          <w:sz w:val="36"/>
          <w:szCs w:val="36"/>
          <w:lang w:bidi="ar"/>
        </w:rPr>
      </w:pPr>
    </w:p>
    <w:p>
      <w:pPr>
        <w:widowControl/>
        <w:suppressAutoHyphens/>
        <w:bidi w:val="0"/>
        <w:spacing w:line="600" w:lineRule="exact"/>
        <w:jc w:val="center"/>
        <w:textAlignment w:val="center"/>
        <w:rPr>
          <w:rFonts w:hint="default" w:ascii="Times New Roman" w:hAnsi="Times New Roman" w:cs="Times New Roman"/>
          <w:b/>
          <w:bCs/>
          <w:color w:val="auto"/>
          <w:kern w:val="0"/>
          <w:sz w:val="36"/>
          <w:szCs w:val="36"/>
          <w:lang w:bidi="ar"/>
        </w:rPr>
      </w:pPr>
    </w:p>
    <w:p>
      <w:pPr>
        <w:widowControl/>
        <w:suppressAutoHyphens/>
        <w:bidi w:val="0"/>
        <w:spacing w:line="600" w:lineRule="exact"/>
        <w:jc w:val="center"/>
        <w:textAlignment w:val="center"/>
        <w:rPr>
          <w:rFonts w:hint="default" w:ascii="Times New Roman" w:hAnsi="Times New Roman" w:cs="Times New Roman"/>
          <w:b/>
          <w:bCs/>
          <w:color w:val="auto"/>
          <w:kern w:val="0"/>
          <w:sz w:val="36"/>
          <w:szCs w:val="36"/>
          <w:lang w:bidi="ar"/>
        </w:rPr>
      </w:pPr>
    </w:p>
    <w:p>
      <w:pPr>
        <w:widowControl/>
        <w:suppressAutoHyphens/>
        <w:bidi w:val="0"/>
        <w:spacing w:line="600" w:lineRule="exact"/>
        <w:jc w:val="center"/>
        <w:textAlignment w:val="center"/>
        <w:rPr>
          <w:rFonts w:hint="default" w:ascii="Times New Roman" w:hAnsi="Times New Roman" w:cs="Times New Roman"/>
          <w:b/>
          <w:bCs/>
          <w:color w:val="auto"/>
          <w:kern w:val="0"/>
          <w:sz w:val="36"/>
          <w:szCs w:val="36"/>
          <w:lang w:bidi="ar"/>
        </w:rPr>
      </w:pPr>
    </w:p>
    <w:p>
      <w:pPr>
        <w:widowControl/>
        <w:suppressAutoHyphens/>
        <w:bidi w:val="0"/>
        <w:spacing w:line="600" w:lineRule="exact"/>
        <w:jc w:val="center"/>
        <w:textAlignment w:val="center"/>
        <w:rPr>
          <w:rFonts w:hint="default" w:ascii="Times New Roman" w:hAnsi="Times New Roman" w:cs="Times New Roman"/>
          <w:b/>
          <w:bCs/>
          <w:color w:val="auto"/>
          <w:kern w:val="0"/>
          <w:sz w:val="36"/>
          <w:szCs w:val="36"/>
          <w:lang w:bidi="ar"/>
        </w:rPr>
      </w:pPr>
    </w:p>
    <w:p>
      <w:pPr>
        <w:suppressAutoHyphens/>
        <w:bidi w:val="0"/>
        <w:spacing w:line="600" w:lineRule="exact"/>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附件</w:t>
      </w:r>
    </w:p>
    <w:p>
      <w:pPr>
        <w:pStyle w:val="2"/>
        <w:rPr>
          <w:rFonts w:hint="eastAsia"/>
          <w:lang w:eastAsia="zh-CN"/>
        </w:rPr>
      </w:pPr>
    </w:p>
    <w:p>
      <w:pPr>
        <w:widowControl/>
        <w:suppressAutoHyphens/>
        <w:bidi w:val="0"/>
        <w:spacing w:line="600" w:lineRule="exact"/>
        <w:jc w:val="center"/>
        <w:textAlignment w:val="center"/>
        <w:rPr>
          <w:rFonts w:hint="default" w:ascii="Times New Roman" w:hAnsi="Times New Roman" w:eastAsia="方正小标宋简体" w:cs="Times New Roman"/>
          <w:b/>
          <w:bCs/>
          <w:color w:val="auto"/>
          <w:kern w:val="0"/>
          <w:sz w:val="36"/>
          <w:szCs w:val="36"/>
          <w:lang w:bidi="ar"/>
        </w:rPr>
      </w:pPr>
      <w:r>
        <w:rPr>
          <w:rFonts w:hint="default" w:ascii="Times New Roman" w:hAnsi="Times New Roman" w:cs="Times New Roman"/>
          <w:b/>
          <w:bCs/>
          <w:color w:val="auto"/>
          <w:kern w:val="0"/>
          <w:sz w:val="36"/>
          <w:szCs w:val="36"/>
          <w:lang w:bidi="ar"/>
        </w:rPr>
        <w:t>聊城市</w:t>
      </w:r>
      <w:r>
        <w:rPr>
          <w:rFonts w:hint="eastAsia" w:ascii="Times New Roman" w:hAnsi="Times New Roman" w:cs="Times New Roman"/>
          <w:b/>
          <w:bCs/>
          <w:color w:val="auto"/>
          <w:kern w:val="0"/>
          <w:sz w:val="36"/>
          <w:szCs w:val="36"/>
          <w:lang w:val="en-US" w:eastAsia="zh-CN" w:bidi="ar"/>
        </w:rPr>
        <w:t>落实“</w:t>
      </w:r>
      <w:r>
        <w:rPr>
          <w:rFonts w:hint="default" w:ascii="Times New Roman" w:hAnsi="Times New Roman" w:cs="Times New Roman"/>
          <w:b/>
          <w:bCs/>
          <w:color w:val="auto"/>
          <w:kern w:val="0"/>
          <w:sz w:val="36"/>
          <w:szCs w:val="36"/>
          <w:lang w:bidi="ar"/>
        </w:rPr>
        <w:t>四水四定</w:t>
      </w:r>
      <w:r>
        <w:rPr>
          <w:rFonts w:hint="eastAsia" w:ascii="Times New Roman" w:hAnsi="Times New Roman" w:cs="Times New Roman"/>
          <w:b/>
          <w:bCs/>
          <w:color w:val="auto"/>
          <w:kern w:val="0"/>
          <w:sz w:val="36"/>
          <w:szCs w:val="36"/>
          <w:lang w:val="en-US" w:eastAsia="zh-CN" w:bidi="ar"/>
        </w:rPr>
        <w:t>”</w:t>
      </w:r>
      <w:r>
        <w:rPr>
          <w:rFonts w:hint="default" w:ascii="Times New Roman" w:hAnsi="Times New Roman" w:cs="Times New Roman"/>
          <w:b/>
          <w:bCs/>
          <w:color w:val="auto"/>
          <w:kern w:val="0"/>
          <w:sz w:val="36"/>
          <w:szCs w:val="36"/>
          <w:lang w:bidi="ar"/>
        </w:rPr>
        <w:t>主要任务目标表</w:t>
      </w:r>
    </w:p>
    <w:tbl>
      <w:tblPr>
        <w:tblStyle w:val="4"/>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508"/>
        <w:gridCol w:w="713"/>
        <w:gridCol w:w="764"/>
        <w:gridCol w:w="865"/>
        <w:gridCol w:w="865"/>
        <w:gridCol w:w="687"/>
        <w:gridCol w:w="756"/>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297" w:type="pct"/>
            <w:vMerge w:val="restart"/>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序号</w:t>
            </w:r>
          </w:p>
        </w:tc>
        <w:tc>
          <w:tcPr>
            <w:tcW w:w="827" w:type="pct"/>
            <w:vMerge w:val="restart"/>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指标名称</w:t>
            </w:r>
          </w:p>
        </w:tc>
        <w:tc>
          <w:tcPr>
            <w:tcW w:w="391" w:type="pct"/>
            <w:vMerge w:val="restart"/>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单位</w:t>
            </w:r>
          </w:p>
        </w:tc>
        <w:tc>
          <w:tcPr>
            <w:tcW w:w="419" w:type="pct"/>
            <w:vMerge w:val="restart"/>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指标属性</w:t>
            </w:r>
          </w:p>
        </w:tc>
        <w:tc>
          <w:tcPr>
            <w:tcW w:w="1740" w:type="pct"/>
            <w:gridSpan w:val="4"/>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聊城市</w:t>
            </w:r>
          </w:p>
        </w:tc>
        <w:tc>
          <w:tcPr>
            <w:tcW w:w="1324" w:type="pct"/>
            <w:vMerge w:val="restart"/>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297" w:type="pct"/>
            <w:vMerge w:val="continue"/>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p>
        </w:tc>
        <w:tc>
          <w:tcPr>
            <w:tcW w:w="827" w:type="pct"/>
            <w:vMerge w:val="continue"/>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p>
        </w:tc>
        <w:tc>
          <w:tcPr>
            <w:tcW w:w="391" w:type="pct"/>
            <w:vMerge w:val="continue"/>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p>
        </w:tc>
        <w:tc>
          <w:tcPr>
            <w:tcW w:w="419" w:type="pct"/>
            <w:vMerge w:val="continue"/>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p>
        </w:tc>
        <w:tc>
          <w:tcPr>
            <w:tcW w:w="47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2025年</w:t>
            </w:r>
          </w:p>
        </w:tc>
        <w:tc>
          <w:tcPr>
            <w:tcW w:w="47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2026年</w:t>
            </w:r>
          </w:p>
        </w:tc>
        <w:tc>
          <w:tcPr>
            <w:tcW w:w="376"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2027年</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2030年</w:t>
            </w:r>
          </w:p>
        </w:tc>
        <w:tc>
          <w:tcPr>
            <w:tcW w:w="1324" w:type="pct"/>
            <w:vMerge w:val="continue"/>
            <w:noWrap w:val="0"/>
            <w:vAlign w:val="center"/>
          </w:tcPr>
          <w:p>
            <w:pPr>
              <w:widowControl/>
              <w:suppressAutoHyphens/>
              <w:bidi w:val="0"/>
              <w:adjustRightInd w:val="0"/>
              <w:snapToGrid w:val="0"/>
              <w:jc w:val="center"/>
              <w:rPr>
                <w:rFonts w:hint="default" w:ascii="Times New Roman" w:hAnsi="Times New Roman" w:eastAsia="黑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97"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1</w:t>
            </w:r>
          </w:p>
        </w:tc>
        <w:tc>
          <w:tcPr>
            <w:tcW w:w="827"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用水总量</w:t>
            </w:r>
          </w:p>
        </w:tc>
        <w:tc>
          <w:tcPr>
            <w:tcW w:w="391"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亿立方米</w:t>
            </w:r>
          </w:p>
        </w:tc>
        <w:tc>
          <w:tcPr>
            <w:tcW w:w="419"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20.1</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20.1</w:t>
            </w:r>
          </w:p>
        </w:tc>
        <w:tc>
          <w:tcPr>
            <w:tcW w:w="376"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20</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20</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7"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2</w:t>
            </w:r>
          </w:p>
        </w:tc>
        <w:tc>
          <w:tcPr>
            <w:tcW w:w="827"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万元国内生产总值用水量</w:t>
            </w:r>
          </w:p>
        </w:tc>
        <w:tc>
          <w:tcPr>
            <w:tcW w:w="391"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立方米</w:t>
            </w:r>
          </w:p>
        </w:tc>
        <w:tc>
          <w:tcPr>
            <w:tcW w:w="419"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52.1</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49.9</w:t>
            </w:r>
          </w:p>
        </w:tc>
        <w:tc>
          <w:tcPr>
            <w:tcW w:w="376"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eastAsia="zh-CN"/>
              </w:rPr>
            </w:pPr>
            <w:r>
              <w:rPr>
                <w:rFonts w:hint="default" w:ascii="Times New Roman" w:hAnsi="Times New Roman" w:eastAsia="等线" w:cs="Times New Roman"/>
                <w:color w:val="auto"/>
                <w:kern w:val="0"/>
                <w:sz w:val="24"/>
              </w:rPr>
              <w:t>47.</w:t>
            </w:r>
            <w:r>
              <w:rPr>
                <w:rFonts w:hint="default" w:ascii="Times New Roman" w:hAnsi="Times New Roman" w:eastAsia="等线" w:cs="Times New Roman"/>
                <w:color w:val="auto"/>
                <w:kern w:val="0"/>
                <w:sz w:val="24"/>
                <w:lang w:val="en-US" w:eastAsia="zh-CN"/>
              </w:rPr>
              <w:t>5</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41.3</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市水利局、市统计局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97"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3</w:t>
            </w:r>
          </w:p>
        </w:tc>
        <w:tc>
          <w:tcPr>
            <w:tcW w:w="827"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万元工业增加值用水量</w:t>
            </w:r>
          </w:p>
        </w:tc>
        <w:tc>
          <w:tcPr>
            <w:tcW w:w="391"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立方米</w:t>
            </w:r>
          </w:p>
        </w:tc>
        <w:tc>
          <w:tcPr>
            <w:tcW w:w="419"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15.7</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15.4</w:t>
            </w:r>
          </w:p>
        </w:tc>
        <w:tc>
          <w:tcPr>
            <w:tcW w:w="376"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rPr>
              <w:t>1</w:t>
            </w:r>
            <w:r>
              <w:rPr>
                <w:rFonts w:hint="default" w:ascii="Times New Roman" w:hAnsi="Times New Roman" w:eastAsia="等线" w:cs="Times New Roman"/>
                <w:color w:val="auto"/>
                <w:kern w:val="0"/>
                <w:sz w:val="24"/>
                <w:lang w:val="en-US" w:eastAsia="zh-CN"/>
              </w:rPr>
              <w:t>4.9</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14.1</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市水利局、市统计局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97"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4</w:t>
            </w:r>
          </w:p>
        </w:tc>
        <w:tc>
          <w:tcPr>
            <w:tcW w:w="827"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农田灌溉水有效利用系数</w:t>
            </w:r>
          </w:p>
        </w:tc>
        <w:tc>
          <w:tcPr>
            <w:tcW w:w="391"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w:t>
            </w:r>
          </w:p>
        </w:tc>
        <w:tc>
          <w:tcPr>
            <w:tcW w:w="419"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eastAsia="zh-CN"/>
              </w:rPr>
            </w:pPr>
            <w:r>
              <w:rPr>
                <w:rFonts w:hint="default" w:ascii="Times New Roman" w:hAnsi="Times New Roman" w:eastAsia="等线" w:cs="Times New Roman"/>
                <w:color w:val="auto"/>
                <w:kern w:val="0"/>
                <w:sz w:val="24"/>
                <w:lang w:val="en-US" w:eastAsia="zh-CN"/>
              </w:rPr>
              <w:t>0.6386</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lang w:val="en-US" w:eastAsia="zh-CN"/>
              </w:rPr>
              <w:t>0.6393</w:t>
            </w:r>
          </w:p>
        </w:tc>
        <w:tc>
          <w:tcPr>
            <w:tcW w:w="376"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0.64</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lang w:val="en-US" w:eastAsia="zh-CN"/>
              </w:rPr>
              <w:t>0.642</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97"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5</w:t>
            </w:r>
          </w:p>
        </w:tc>
        <w:tc>
          <w:tcPr>
            <w:tcW w:w="827"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非常规水利用量</w:t>
            </w:r>
          </w:p>
        </w:tc>
        <w:tc>
          <w:tcPr>
            <w:tcW w:w="391"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亿立方米</w:t>
            </w:r>
          </w:p>
        </w:tc>
        <w:tc>
          <w:tcPr>
            <w:tcW w:w="419"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1.1</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1.15</w:t>
            </w:r>
          </w:p>
        </w:tc>
        <w:tc>
          <w:tcPr>
            <w:tcW w:w="376"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1.2</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1.3</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7" w:type="pct"/>
            <w:noWrap w:val="0"/>
            <w:vAlign w:val="center"/>
          </w:tcPr>
          <w:p>
            <w:pPr>
              <w:widowControl/>
              <w:suppressAutoHyphens/>
              <w:bidi w:val="0"/>
              <w:adjustRightInd w:val="0"/>
              <w:snapToGrid w:val="0"/>
              <w:jc w:val="center"/>
              <w:rPr>
                <w:rFonts w:hint="eastAsia" w:ascii="Times New Roman" w:hAnsi="Times New Roman" w:eastAsia="等线" w:cs="Times New Roman"/>
                <w:color w:val="auto"/>
                <w:kern w:val="0"/>
                <w:sz w:val="24"/>
                <w:lang w:eastAsia="zh-CN"/>
              </w:rPr>
            </w:pPr>
            <w:r>
              <w:rPr>
                <w:rFonts w:hint="eastAsia" w:ascii="Times New Roman" w:hAnsi="Times New Roman" w:eastAsia="等线" w:cs="Times New Roman"/>
                <w:color w:val="auto"/>
                <w:kern w:val="0"/>
                <w:sz w:val="24"/>
                <w:lang w:val="en-US" w:eastAsia="zh-CN"/>
              </w:rPr>
              <w:t>6</w:t>
            </w:r>
          </w:p>
        </w:tc>
        <w:tc>
          <w:tcPr>
            <w:tcW w:w="827"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000000"/>
                <w:kern w:val="0"/>
                <w:sz w:val="24"/>
              </w:rPr>
              <w:t>城市</w:t>
            </w:r>
            <w:r>
              <w:rPr>
                <w:rFonts w:hint="eastAsia" w:ascii="Times New Roman" w:hAnsi="Times New Roman" w:eastAsia="仿宋_GB2312" w:cs="Times New Roman"/>
                <w:color w:val="000000"/>
                <w:kern w:val="0"/>
                <w:sz w:val="24"/>
                <w:lang w:eastAsia="zh-CN"/>
              </w:rPr>
              <w:t>再生水</w:t>
            </w:r>
            <w:r>
              <w:rPr>
                <w:rFonts w:hint="default" w:ascii="Times New Roman" w:hAnsi="Times New Roman" w:eastAsia="仿宋_GB2312" w:cs="Times New Roman"/>
                <w:color w:val="000000"/>
                <w:kern w:val="0"/>
                <w:sz w:val="24"/>
              </w:rPr>
              <w:t>利用率</w:t>
            </w:r>
          </w:p>
        </w:tc>
        <w:tc>
          <w:tcPr>
            <w:tcW w:w="391"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w:t>
            </w:r>
          </w:p>
        </w:tc>
        <w:tc>
          <w:tcPr>
            <w:tcW w:w="419" w:type="pct"/>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55</w:t>
            </w:r>
          </w:p>
        </w:tc>
        <w:tc>
          <w:tcPr>
            <w:tcW w:w="474"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55.5</w:t>
            </w:r>
          </w:p>
        </w:tc>
        <w:tc>
          <w:tcPr>
            <w:tcW w:w="376" w:type="pct"/>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57</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58</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市城管局、市水利局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97" w:type="pct"/>
            <w:shd w:val="clear" w:color="auto" w:fill="auto"/>
            <w:noWrap w:val="0"/>
            <w:vAlign w:val="center"/>
          </w:tcPr>
          <w:p>
            <w:pPr>
              <w:widowControl/>
              <w:suppressAutoHyphens/>
              <w:bidi w:val="0"/>
              <w:adjustRightInd w:val="0"/>
              <w:snapToGrid w:val="0"/>
              <w:jc w:val="center"/>
              <w:rPr>
                <w:rFonts w:hint="eastAsia" w:ascii="Times New Roman" w:hAnsi="Times New Roman" w:eastAsia="宋体" w:cs="Times New Roman"/>
                <w:color w:val="auto"/>
                <w:sz w:val="20"/>
                <w:szCs w:val="22"/>
                <w:lang w:eastAsia="zh-CN"/>
              </w:rPr>
            </w:pPr>
            <w:r>
              <w:rPr>
                <w:rFonts w:hint="eastAsia" w:ascii="Times New Roman" w:hAnsi="Times New Roman" w:eastAsia="等线" w:cs="Times New Roman"/>
                <w:color w:val="auto"/>
                <w:kern w:val="0"/>
                <w:sz w:val="24"/>
                <w:lang w:val="en-US" w:eastAsia="zh-CN"/>
              </w:rPr>
              <w:t>7</w:t>
            </w:r>
          </w:p>
        </w:tc>
        <w:tc>
          <w:tcPr>
            <w:tcW w:w="827" w:type="pct"/>
            <w:shd w:val="clear" w:color="auto" w:fill="auto"/>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城镇公共供水管网漏损率</w:t>
            </w:r>
          </w:p>
        </w:tc>
        <w:tc>
          <w:tcPr>
            <w:tcW w:w="391" w:type="pct"/>
            <w:shd w:val="clear" w:color="auto" w:fill="auto"/>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w:t>
            </w:r>
          </w:p>
        </w:tc>
        <w:tc>
          <w:tcPr>
            <w:tcW w:w="419" w:type="pct"/>
            <w:shd w:val="clear" w:color="auto" w:fill="auto"/>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c>
          <w:tcPr>
            <w:tcW w:w="474" w:type="pct"/>
            <w:shd w:val="clear" w:color="000000" w:fill="FFFFFF"/>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7.9</w:t>
            </w:r>
          </w:p>
        </w:tc>
        <w:tc>
          <w:tcPr>
            <w:tcW w:w="474" w:type="pct"/>
            <w:shd w:val="clear" w:color="000000" w:fill="FFFFFF"/>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7.8</w:t>
            </w:r>
          </w:p>
        </w:tc>
        <w:tc>
          <w:tcPr>
            <w:tcW w:w="376" w:type="pct"/>
            <w:shd w:val="clear" w:color="000000" w:fill="FFFFFF"/>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7.7</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7.5</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97" w:type="pct"/>
            <w:shd w:val="clear" w:color="auto" w:fill="auto"/>
            <w:noWrap w:val="0"/>
            <w:vAlign w:val="center"/>
          </w:tcPr>
          <w:p>
            <w:pPr>
              <w:widowControl/>
              <w:suppressAutoHyphens/>
              <w:bidi w:val="0"/>
              <w:adjustRightInd w:val="0"/>
              <w:snapToGrid w:val="0"/>
              <w:jc w:val="center"/>
              <w:rPr>
                <w:rFonts w:hint="eastAsia" w:ascii="Times New Roman" w:hAnsi="Times New Roman" w:eastAsia="等线" w:cs="Times New Roman"/>
                <w:color w:val="auto"/>
                <w:kern w:val="0"/>
                <w:sz w:val="24"/>
                <w:lang w:eastAsia="zh-CN"/>
              </w:rPr>
            </w:pPr>
            <w:r>
              <w:rPr>
                <w:rFonts w:hint="eastAsia" w:ascii="Times New Roman" w:hAnsi="Times New Roman" w:eastAsia="等线" w:cs="Times New Roman"/>
                <w:color w:val="auto"/>
                <w:kern w:val="0"/>
                <w:sz w:val="24"/>
                <w:lang w:val="en-US" w:eastAsia="zh-CN"/>
              </w:rPr>
              <w:t>8</w:t>
            </w:r>
          </w:p>
        </w:tc>
        <w:tc>
          <w:tcPr>
            <w:tcW w:w="827" w:type="pct"/>
            <w:shd w:val="clear" w:color="auto" w:fill="auto"/>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000000"/>
                <w:kern w:val="0"/>
                <w:sz w:val="24"/>
              </w:rPr>
              <w:t>规模以上工业用水重复利用率</w:t>
            </w:r>
          </w:p>
        </w:tc>
        <w:tc>
          <w:tcPr>
            <w:tcW w:w="391" w:type="pct"/>
            <w:shd w:val="clear" w:color="auto" w:fill="auto"/>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w:t>
            </w:r>
          </w:p>
        </w:tc>
        <w:tc>
          <w:tcPr>
            <w:tcW w:w="419" w:type="pct"/>
            <w:shd w:val="clear" w:color="auto" w:fill="auto"/>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c>
          <w:tcPr>
            <w:tcW w:w="474" w:type="pct"/>
            <w:shd w:val="clear" w:color="000000" w:fill="FFFFFF"/>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92</w:t>
            </w:r>
          </w:p>
        </w:tc>
        <w:tc>
          <w:tcPr>
            <w:tcW w:w="474" w:type="pct"/>
            <w:shd w:val="clear" w:color="000000" w:fill="FFFFFF"/>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93</w:t>
            </w:r>
          </w:p>
        </w:tc>
        <w:tc>
          <w:tcPr>
            <w:tcW w:w="376" w:type="pct"/>
            <w:shd w:val="clear" w:color="000000" w:fill="FFFFFF"/>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94</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97</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市水利局、市工业和信息化局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97" w:type="pct"/>
            <w:shd w:val="clear" w:color="auto" w:fill="auto"/>
            <w:noWrap w:val="0"/>
            <w:vAlign w:val="center"/>
          </w:tcPr>
          <w:p>
            <w:pPr>
              <w:widowControl/>
              <w:suppressAutoHyphens/>
              <w:bidi w:val="0"/>
              <w:adjustRightInd w:val="0"/>
              <w:snapToGrid w:val="0"/>
              <w:jc w:val="center"/>
              <w:rPr>
                <w:rFonts w:hint="eastAsia" w:ascii="Times New Roman" w:hAnsi="Times New Roman" w:eastAsia="等线" w:cs="Times New Roman"/>
                <w:color w:val="auto"/>
                <w:kern w:val="0"/>
                <w:sz w:val="24"/>
                <w:lang w:eastAsia="zh-CN"/>
              </w:rPr>
            </w:pPr>
            <w:r>
              <w:rPr>
                <w:rFonts w:hint="eastAsia" w:ascii="Times New Roman" w:hAnsi="Times New Roman" w:eastAsia="等线" w:cs="Times New Roman"/>
                <w:color w:val="auto"/>
                <w:kern w:val="0"/>
                <w:sz w:val="24"/>
                <w:lang w:val="en-US" w:eastAsia="zh-CN"/>
              </w:rPr>
              <w:t>9</w:t>
            </w:r>
          </w:p>
        </w:tc>
        <w:tc>
          <w:tcPr>
            <w:tcW w:w="827" w:type="pct"/>
            <w:shd w:val="clear" w:color="auto" w:fill="auto"/>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化工园区非常规水源配置率</w:t>
            </w:r>
          </w:p>
        </w:tc>
        <w:tc>
          <w:tcPr>
            <w:tcW w:w="391" w:type="pct"/>
            <w:shd w:val="clear" w:color="auto" w:fill="auto"/>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w:t>
            </w:r>
          </w:p>
        </w:tc>
        <w:tc>
          <w:tcPr>
            <w:tcW w:w="419" w:type="pct"/>
            <w:shd w:val="clear" w:color="auto" w:fill="auto"/>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c>
          <w:tcPr>
            <w:tcW w:w="474" w:type="pct"/>
            <w:shd w:val="clear" w:color="000000" w:fill="FFFFFF"/>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28</w:t>
            </w:r>
          </w:p>
        </w:tc>
        <w:tc>
          <w:tcPr>
            <w:tcW w:w="474" w:type="pct"/>
            <w:shd w:val="clear" w:color="000000" w:fill="FFFFFF"/>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30</w:t>
            </w:r>
          </w:p>
        </w:tc>
        <w:tc>
          <w:tcPr>
            <w:tcW w:w="376" w:type="pct"/>
            <w:shd w:val="clear" w:color="000000" w:fill="FFFFFF"/>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35</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35</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市工业和信息化局、市水利局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97" w:type="pct"/>
            <w:shd w:val="clear" w:color="auto" w:fill="auto"/>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eastAsia" w:ascii="Times New Roman" w:hAnsi="Times New Roman" w:eastAsia="等线" w:cs="Times New Roman"/>
                <w:color w:val="auto"/>
                <w:kern w:val="0"/>
                <w:sz w:val="24"/>
                <w:lang w:val="en-US" w:eastAsia="zh-CN"/>
              </w:rPr>
              <w:t>10</w:t>
            </w:r>
          </w:p>
        </w:tc>
        <w:tc>
          <w:tcPr>
            <w:tcW w:w="827" w:type="pct"/>
            <w:shd w:val="clear" w:color="auto" w:fill="auto"/>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城市污水处理厂提标改造完成率</w:t>
            </w:r>
          </w:p>
        </w:tc>
        <w:tc>
          <w:tcPr>
            <w:tcW w:w="391" w:type="pct"/>
            <w:shd w:val="clear" w:color="auto" w:fill="auto"/>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rPr>
            </w:pPr>
            <w:r>
              <w:rPr>
                <w:rFonts w:hint="default" w:ascii="Times New Roman" w:hAnsi="Times New Roman" w:eastAsia="等线" w:cs="Times New Roman"/>
                <w:color w:val="auto"/>
                <w:kern w:val="0"/>
                <w:sz w:val="24"/>
              </w:rPr>
              <w:t>%</w:t>
            </w:r>
          </w:p>
        </w:tc>
        <w:tc>
          <w:tcPr>
            <w:tcW w:w="419" w:type="pct"/>
            <w:shd w:val="clear" w:color="auto" w:fill="auto"/>
            <w:noWrap w:val="0"/>
            <w:vAlign w:val="center"/>
          </w:tcPr>
          <w:p>
            <w:pPr>
              <w:widowControl/>
              <w:suppressAutoHyphens/>
              <w:bidi w:val="0"/>
              <w:adjustRightInd w:val="0"/>
              <w:snapToGrid w:val="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c>
          <w:tcPr>
            <w:tcW w:w="474" w:type="pct"/>
            <w:shd w:val="clear" w:color="000000" w:fill="FFFFFF"/>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81.25</w:t>
            </w:r>
          </w:p>
        </w:tc>
        <w:tc>
          <w:tcPr>
            <w:tcW w:w="474" w:type="pct"/>
            <w:shd w:val="clear" w:color="000000" w:fill="FFFFFF"/>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default" w:ascii="Times New Roman" w:hAnsi="Times New Roman" w:eastAsia="等线" w:cs="Times New Roman"/>
                <w:color w:val="auto"/>
                <w:kern w:val="0"/>
                <w:sz w:val="24"/>
                <w:lang w:val="en-US" w:eastAsia="zh-CN"/>
              </w:rPr>
              <w:t>81.25</w:t>
            </w:r>
          </w:p>
        </w:tc>
        <w:tc>
          <w:tcPr>
            <w:tcW w:w="376" w:type="pct"/>
            <w:shd w:val="clear" w:color="000000" w:fill="FFFFFF"/>
            <w:noWrap/>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eastAsia" w:ascii="Times New Roman" w:hAnsi="Times New Roman" w:eastAsia="等线" w:cs="Times New Roman"/>
                <w:color w:val="auto"/>
                <w:kern w:val="0"/>
                <w:sz w:val="24"/>
                <w:lang w:val="en-US" w:eastAsia="zh-CN"/>
              </w:rPr>
              <w:t>85</w:t>
            </w:r>
          </w:p>
        </w:tc>
        <w:tc>
          <w:tcPr>
            <w:tcW w:w="414" w:type="pct"/>
            <w:noWrap w:val="0"/>
            <w:vAlign w:val="center"/>
          </w:tcPr>
          <w:p>
            <w:pPr>
              <w:widowControl/>
              <w:suppressAutoHyphens/>
              <w:bidi w:val="0"/>
              <w:adjustRightInd w:val="0"/>
              <w:snapToGrid w:val="0"/>
              <w:jc w:val="center"/>
              <w:rPr>
                <w:rFonts w:hint="default" w:ascii="Times New Roman" w:hAnsi="Times New Roman" w:eastAsia="等线" w:cs="Times New Roman"/>
                <w:color w:val="auto"/>
                <w:kern w:val="0"/>
                <w:sz w:val="24"/>
                <w:lang w:val="en-US" w:eastAsia="zh-CN"/>
              </w:rPr>
            </w:pPr>
            <w:r>
              <w:rPr>
                <w:rFonts w:hint="eastAsia" w:ascii="Times New Roman" w:hAnsi="Times New Roman" w:eastAsia="等线" w:cs="Times New Roman"/>
                <w:color w:val="auto"/>
                <w:kern w:val="0"/>
                <w:sz w:val="24"/>
                <w:lang w:val="en-US" w:eastAsia="zh-CN"/>
              </w:rPr>
              <w:t>90</w:t>
            </w:r>
          </w:p>
        </w:tc>
        <w:tc>
          <w:tcPr>
            <w:tcW w:w="1324" w:type="pct"/>
            <w:noWrap w:val="0"/>
            <w:vAlign w:val="center"/>
          </w:tcPr>
          <w:p>
            <w:pPr>
              <w:widowControl/>
              <w:suppressAutoHyphens/>
              <w:bidi w:val="0"/>
              <w:adjustRightInd w:val="0"/>
              <w:snapToGrid w:val="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市城管局</w:t>
            </w:r>
          </w:p>
        </w:tc>
      </w:tr>
    </w:tbl>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3"/>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0"/>
          <w:szCs w:val="30"/>
          <w:lang w:val="en-US" w:eastAsia="zh-CN" w:bidi="ar-SA"/>
        </w:rPr>
      </w:pPr>
      <w:r>
        <w:rPr>
          <w:rFonts w:hint="eastAsia" w:ascii="仿宋_GB2312" w:hAnsi="仿宋_GB2312" w:eastAsia="仿宋_GB2312" w:cs="仿宋_GB2312"/>
          <w:snapToGrid w:val="0"/>
          <w:color w:val="auto"/>
          <w:kern w:val="0"/>
          <w:sz w:val="30"/>
          <w:szCs w:val="30"/>
          <w:lang w:val="en-US" w:eastAsia="zh-CN" w:bidi="ar-SA"/>
        </w:rPr>
        <w:t>聊城市人民政府办公室                 2025年11月27日印发</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等线">
    <w:altName w:val="华文仿宋"/>
    <w:panose1 w:val="02010600030101010101"/>
    <w:charset w:val="00"/>
    <w:family w:val="auto"/>
    <w:pitch w:val="default"/>
    <w:sig w:usb0="00000000" w:usb1="00000000" w:usb2="00000016" w:usb3="00000000" w:csb0="0004000F" w:csb1="00000000"/>
  </w:font>
  <w:font w:name="仿宋_GB2312">
    <w:altName w:val="方正仿宋_GBK"/>
    <w:panose1 w:val="02010609030101010101"/>
    <w:charset w:val="00"/>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976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Plain Text"/>
    <w:basedOn w:val="1"/>
    <w:uiPriority w:val="0"/>
    <w:rPr>
      <w:rFonts w:ascii="宋体" w:hAnsi="Courier New"/>
    </w:rPr>
  </w:style>
  <w:style w:type="character" w:customStyle="1" w:styleId="6">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2025-12-23T11:31:33Z</dcterms:created>
  <dc:creator>user</dc:creator>
  <cp:lastModifiedBy>user</cp:lastModifiedBy>
  <dcterms:modified xsi:type="dcterms:W3CDTF">2025-12-23T14:51:23Z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