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Style w:val="5"/>
          <w:rFonts w:hint="eastAsia" w:ascii="仿宋_GB2312" w:hAnsi="仿宋_GB2312" w:eastAsia="仿宋_GB2312" w:cs="仿宋_GB2312"/>
          <w:color w:val="000000" w:themeColor="text1"/>
          <w:kern w:val="0"/>
          <w:sz w:val="32"/>
          <w:szCs w:val="32"/>
          <w14:textFill>
            <w14:solidFill>
              <w14:schemeClr w14:val="tx1"/>
            </w14:solidFill>
          </w14:textFill>
        </w:rPr>
      </w:pPr>
      <w:r>
        <w:rPr>
          <w:rStyle w:val="5"/>
          <w:rFonts w:hint="eastAsia" w:ascii="仿宋_GB2312" w:hAnsi="仿宋_GB2312" w:eastAsia="仿宋_GB2312" w:cs="仿宋_GB2312"/>
          <w:color w:val="000000" w:themeColor="text1"/>
          <w:kern w:val="0"/>
          <w:sz w:val="32"/>
          <w:szCs w:val="32"/>
          <w14:textFill>
            <w14:solidFill>
              <w14:schemeClr w14:val="tx1"/>
            </w14:solidFill>
          </w14:textFill>
        </w:rPr>
        <w:t>聊政办发〔2025〕4 号</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聊城市人民政府办公室</w:t>
      </w:r>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关于印发2025年聊城市政务公开</w:t>
      </w:r>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工作要点的通知</w:t>
      </w:r>
    </w:p>
    <w:p>
      <w:pPr>
        <w:spacing w:line="576" w:lineRule="exact"/>
        <w:jc w:val="center"/>
        <w:rPr>
          <w:rFonts w:hint="eastAsia" w:ascii="方正小标宋简体" w:hAnsi="方正小标宋简体" w:eastAsia="方正小标宋简体" w:cs="方正小标宋简体"/>
          <w:sz w:val="44"/>
          <w:szCs w:val="44"/>
          <w:lang w:eastAsia="zh-CN"/>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各县（市、区）人民政府，市属开发区管委会，市政府各部门、直属机构：</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xml:space="preserve">　　《2025年聊城市政务公开工作要点》已经市政府同意，现印发给你们，请认真贯彻执行。　　　　                             </w:t>
      </w:r>
    </w:p>
    <w:p>
      <w:pPr>
        <w:pStyle w:val="2"/>
        <w:keepNext w:val="0"/>
        <w:keepLines w:val="0"/>
        <w:pageBreakBefore w:val="0"/>
        <w:widowControl w:val="0"/>
        <w:kinsoku/>
        <w:overflowPunct/>
        <w:topLinePunct w:val="0"/>
        <w:autoSpaceDE/>
        <w:autoSpaceDN/>
        <w:bidi w:val="0"/>
        <w:adjustRightInd/>
        <w:snapToGrid/>
        <w:spacing w:line="600" w:lineRule="exact"/>
        <w:jc w:val="righ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聊城市人民政府办公室</w:t>
      </w:r>
    </w:p>
    <w:p>
      <w:pPr>
        <w:pStyle w:val="2"/>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Style w:val="5"/>
          <w:rFonts w:hint="default" w:ascii="仿宋_GB2312" w:hAnsi="仿宋_GB2312" w:eastAsia="仿宋_GB2312" w:cs="仿宋_GB2312"/>
          <w:color w:val="000000" w:themeColor="text1"/>
          <w:kern w:val="0"/>
          <w:sz w:val="32"/>
          <w:szCs w:val="32"/>
          <w:lang w:val="en-US"/>
        </w:rPr>
      </w:pPr>
      <w:r>
        <w:rPr>
          <w:rStyle w:val="5"/>
          <w:rFonts w:hint="eastAsia" w:ascii="仿宋_GB2312" w:hAnsi="仿宋_GB2312" w:eastAsia="仿宋_GB2312" w:cs="仿宋_GB2312"/>
          <w:color w:val="000000" w:themeColor="text1"/>
          <w:kern w:val="0"/>
          <w:sz w:val="32"/>
          <w:szCs w:val="32"/>
        </w:rPr>
        <w:t>2025年6月26日</w:t>
      </w:r>
      <w:r>
        <w:rPr>
          <w:rStyle w:val="5"/>
          <w:rFonts w:hint="eastAsia" w:ascii="仿宋_GB2312" w:hAnsi="仿宋_GB2312" w:eastAsia="仿宋_GB2312" w:cs="仿宋_GB2312"/>
          <w:color w:val="000000" w:themeColor="text1"/>
          <w:kern w:val="0"/>
          <w:sz w:val="32"/>
          <w:szCs w:val="32"/>
          <w:lang w:val="en-US"/>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（此件公开发布）</w:t>
      </w: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2025年聊城市政务公开工作要点</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2025年是“十四五”规划的收官之年，也是“十五五”规划的谋篇布局之年。全市政务公开工作坚持以习近平新时代中国特色社会主义思想为指导，深入贯彻党的二十大和二十届二中、三中全会精神，准确应对新时代政务公开新挑战，协同推进信息公开与安全保障，以更高质量政务公开服务保障全市中心工作，为奋力开创高质量发展新局面、谱写中国式现代化聊城实践新篇章作出贡献。</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黑体" w:hAnsi="黑体" w:eastAsia="黑体" w:cs="黑体"/>
          <w:color w:val="000000" w:themeColor="text1"/>
          <w:kern w:val="0"/>
          <w:sz w:val="32"/>
          <w:szCs w:val="32"/>
          <w:highlight w:val="none"/>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一、立标引航，推动政务公开规范升级</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（一）健全主动公开体系，提升信息发布质效。</w:t>
      </w:r>
      <w:r>
        <w:rPr>
          <w:rStyle w:val="5"/>
          <w:rFonts w:hint="eastAsia" w:ascii="仿宋_GB2312" w:hAnsi="仿宋_GB2312" w:eastAsia="仿宋_GB2312" w:cs="仿宋_GB2312"/>
          <w:color w:val="000000" w:themeColor="text1"/>
          <w:kern w:val="0"/>
          <w:sz w:val="32"/>
          <w:szCs w:val="32"/>
        </w:rPr>
        <w:t>持续完善主动公开事项目录，实现主动公开事项的动态更新和清单化、信息化、规范化管理。完善公共企事业单位信息公开，提升教育、卫生健康、供水、供气、城市集中供热、公共交通等领域公共企事业单位信息公开质量。建立已公开信息安全检查机制，定期清理不当公开的各类信息。选取部分有条件的县（市、区）开展已公开信息规范化管理试点工作，明确公开范围、公开形式和不同类型信息在政府网站、政务新媒体等渠道的公开时限，探索制定已公开信息的管理规范。（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（二）规范依申请公开流程，保障群众合法权益。</w:t>
      </w:r>
      <w:r>
        <w:rPr>
          <w:rStyle w:val="5"/>
          <w:rFonts w:hint="eastAsia" w:ascii="仿宋_GB2312" w:hAnsi="仿宋_GB2312" w:eastAsia="仿宋_GB2312" w:cs="仿宋_GB2312"/>
          <w:color w:val="000000" w:themeColor="text1"/>
          <w:kern w:val="0"/>
          <w:sz w:val="32"/>
          <w:szCs w:val="32"/>
        </w:rPr>
        <w:t>规范做好依申请公开全流程办理，完善配套制度，畅通受理渠道。各级、各部门要在申请受理、审核、答复、送达、归档等各环节，明确具体责任及工作要求，做好便民解答、指引和服务，着力提高依申请公开办理工作人员的专业能力和业务水平。对影响面广、敏感度高的申请，做到早了解、早研究、慎处理、慎答复。（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（三）加大政策解读力度，助力政策落地生根。</w:t>
      </w:r>
      <w:r>
        <w:rPr>
          <w:rStyle w:val="5"/>
          <w:rFonts w:hint="eastAsia" w:ascii="仿宋_GB2312" w:hAnsi="仿宋_GB2312" w:eastAsia="仿宋_GB2312" w:cs="仿宋_GB2312"/>
          <w:color w:val="000000" w:themeColor="text1"/>
          <w:kern w:val="0"/>
          <w:sz w:val="32"/>
          <w:szCs w:val="32"/>
        </w:rPr>
        <w:t>把政策解读融入政策文件审核签发工作流程，坚持政策解读与政策制定同部署、同推进。健全政策草案意见征询、发布、实施等“全周期”解读工作机制，探索推进政策执行后的二次解读、阶段性解读和实施效能评估，多维度、深层次强化政策解读工作。落实政府政策例行吹风会机制，权威解读重要政策，主动回应社会关切，合理引导社会预期。（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（四）完善公众参与机制，增强政民互动效能。</w:t>
      </w:r>
      <w:r>
        <w:rPr>
          <w:rStyle w:val="5"/>
          <w:rFonts w:hint="eastAsia" w:ascii="仿宋_GB2312" w:hAnsi="仿宋_GB2312" w:eastAsia="仿宋_GB2312" w:cs="仿宋_GB2312"/>
          <w:color w:val="000000" w:themeColor="text1"/>
          <w:kern w:val="0"/>
          <w:sz w:val="32"/>
          <w:szCs w:val="32"/>
        </w:rPr>
        <w:t>做好重大行政决策事项目录发布和动态调整工作，进一步完善意见征集、采纳、反馈等工作机制。常态化开展市政府常务会议“每月一题”工作，更新市民代表库，列席代表的意见发表和采纳情况面向社会公开。实现政府开放活动常态化，组织各部门结合职责梳理持续性、阶段性、节点性政务公开重点任务，制定全年政府开放计划，通过线上线下联动等方式开展政府开放活动，加强互动交流，促进政民互动互信。加强领导信箱、12345政务服务便民热线、在线访谈、网友留言、意见征集、建言献策等互动平台建设，严格落实各渠道办理时限，及时公开公众意见建议采纳情况。面向社会发布年度重点工作任务公开承诺事项，明确工作任务、时限和责任人，接受社会监督。（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（五）打造多元公开渠道，实现信息精准直达。</w:t>
      </w:r>
      <w:r>
        <w:rPr>
          <w:rStyle w:val="5"/>
          <w:rFonts w:hint="eastAsia" w:ascii="仿宋_GB2312" w:hAnsi="仿宋_GB2312" w:eastAsia="仿宋_GB2312" w:cs="仿宋_GB2312"/>
          <w:color w:val="000000" w:themeColor="text1"/>
          <w:kern w:val="0"/>
          <w:sz w:val="32"/>
          <w:szCs w:val="32"/>
        </w:rPr>
        <w:t>各级各部门要依托政务服务大厅、便民服务中心等，设置政务公开专区，围绕“高效办成一件事”，以高频政务服务事项为重点，将业务咨询与政策解读相结合，提高政务公开专区利用率和知晓度。充分考虑特定场所人群需求，鼓励探索推动政务公开专区建设向大型商超、客运枢纽、旅游景区、综合医院等公共场所延伸。探索和梳理符合基层特点的公开渠道，充分考虑农村和社区民生关注侧重点，分类推进基层政务公开向农村和社区延伸。（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黑体" w:hAnsi="黑体" w:eastAsia="黑体" w:cs="黑体"/>
          <w:color w:val="000000" w:themeColor="text1"/>
          <w:kern w:val="0"/>
          <w:sz w:val="32"/>
          <w:szCs w:val="32"/>
          <w:highlight w:val="none"/>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二、数智驱动，赋能政务公开创新突破</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（六）创新平台，优化依申请公开管理。</w:t>
      </w:r>
      <w:r>
        <w:rPr>
          <w:rStyle w:val="5"/>
          <w:rFonts w:hint="eastAsia" w:ascii="仿宋_GB2312" w:hAnsi="仿宋_GB2312" w:eastAsia="仿宋_GB2312" w:cs="仿宋_GB2312"/>
          <w:color w:val="000000" w:themeColor="text1"/>
          <w:kern w:val="0"/>
          <w:sz w:val="32"/>
          <w:szCs w:val="32"/>
        </w:rPr>
        <w:t>建设全市依申请公开一体化管理平台，并与省平台完成对接，借助信息化手段实现全市依申请公开全程网办、全程跟踪和全程监督，提高依申请公开办理智能化水平。（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（七）优化功能，确保政府网站安全稳定。</w:t>
      </w:r>
      <w:r>
        <w:rPr>
          <w:rStyle w:val="5"/>
          <w:rFonts w:hint="eastAsia" w:ascii="仿宋_GB2312" w:hAnsi="仿宋_GB2312" w:eastAsia="仿宋_GB2312" w:cs="仿宋_GB2312"/>
          <w:color w:val="000000" w:themeColor="text1"/>
          <w:kern w:val="0"/>
          <w:sz w:val="32"/>
          <w:szCs w:val="32"/>
        </w:rPr>
        <w:t>及时调整完善政府网站法定主动公开内容有关栏目，持续优化升级网站功能，不断提高用户体验。做好拟公开信息保密审查工作，防止泄露国家秘密、工作秘密和敏感信息，防范数据汇聚引发泄密风险。建立健全已公开信息安全巡查机制，定期清理不当公开的各类信息。做好“我为政府网站找错”留言办理、重要信息转发等工作。（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（八）做优账号，发挥政务新媒体作用。</w:t>
      </w:r>
      <w:r>
        <w:rPr>
          <w:rStyle w:val="5"/>
          <w:rFonts w:hint="eastAsia" w:ascii="仿宋_GB2312" w:hAnsi="仿宋_GB2312" w:eastAsia="仿宋_GB2312" w:cs="仿宋_GB2312"/>
          <w:color w:val="000000" w:themeColor="text1"/>
          <w:kern w:val="0"/>
          <w:sz w:val="32"/>
          <w:szCs w:val="32"/>
        </w:rPr>
        <w:t>严格履行政务新媒体账号信息变更程序，确保全国政务新媒体信息报送系统备案信息与实际政务信息媒体账号信息一致。关停发布质量低、宣传效果差、原创率较低、粉丝量少的账号。根据各账号特点定位受众需求，通过差异化定位与专业化运营打造精品账号。构建好政务新媒体矩阵体系，及时转载重要信息。（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黑体" w:hAnsi="黑体" w:eastAsia="黑体" w:cs="黑体"/>
          <w:color w:val="000000" w:themeColor="text1"/>
          <w:kern w:val="0"/>
          <w:sz w:val="32"/>
          <w:szCs w:val="32"/>
          <w:highlight w:val="none"/>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　三、聚焦重点，深化政务公开服务效能</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（九）以高质量公开促进政策落实。</w:t>
      </w:r>
      <w:r>
        <w:rPr>
          <w:rStyle w:val="5"/>
          <w:rFonts w:hint="eastAsia" w:ascii="仿宋_GB2312" w:hAnsi="仿宋_GB2312" w:eastAsia="仿宋_GB2312" w:cs="仿宋_GB2312"/>
          <w:color w:val="000000" w:themeColor="text1"/>
          <w:kern w:val="0"/>
          <w:sz w:val="32"/>
          <w:szCs w:val="32"/>
        </w:rPr>
        <w:t>及时公开实施提振消费十大专项行动、“四季有约、聊惠全城”系列促消费活动有关信息，重点宣传解读扩大有效投资、促进招商引资、提振文旅市场等政策文件及相关措施。做好助企纾困、政策直达快享等政策宣传工作，持续优化营商环境。围绕对外开放合作，做好“百企百展”出海计划、“海外聊城”建设相关政策宣传工作。聚焦粮食稳产保供、农产品产业链打造、宜居宜业和美乡村建设，做好乡村振兴重要政策宣传和信息推送。聚焦百场招聘促就业行动、基础教育扩优提质行动、推进乡村医疗服务能力、“中医药+”系列工程、全民健身、养老服务等民生项目，做好相关政策发布和解读工作。（责任单位：市发展改革委、市教育体育局、市民政局、市人力资源社会保障局、市住房城乡建设局、市农业农村局、市商务局、市投资促进局、市文化和旅游局、市卫生健康委、市外办，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（十）以高质量公开强化监督管理。</w:t>
      </w:r>
      <w:r>
        <w:rPr>
          <w:rStyle w:val="5"/>
          <w:rFonts w:hint="eastAsia" w:ascii="仿宋_GB2312" w:hAnsi="仿宋_GB2312" w:eastAsia="仿宋_GB2312" w:cs="仿宋_GB2312"/>
          <w:color w:val="000000" w:themeColor="text1"/>
          <w:kern w:val="0"/>
          <w:sz w:val="32"/>
          <w:szCs w:val="32"/>
        </w:rPr>
        <w:t>规范公共资源交易信息公开，加大工程建设项目招投标、政府采购等环节信息公开力度，招标公告明确监督部门信息，保障交易公正公平。将排污单位和第三方治理、运维、检测机构弄虚作假行为纳入信用记录，依法向社会公布。及时公布生态环境质量监测、环境污染治理等信息，引导公众参与环保行动。动态更新并公开本地区行政事业性收费、政府性基金等清单，规范政府收费行为。严格落实行政执法公示制度，公开行政执法事项、流程、结果等内容，规范涉企执法行为。深化教育、医疗、供水供电、公共交通等公共企事业单位信息公开，强化监督管理，统一公开目录，提升服务透明度，加强信息公开咨询窗口建设，方便群众获取信息。（责任单位：市发展改革委、市教育体育局、市司法局、市财政局、市生态环境局、市交通运输局、市卫生健康委、市行政审批局、市城管局，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黑体" w:hAnsi="黑体" w:eastAsia="黑体" w:cs="黑体"/>
          <w:color w:val="000000" w:themeColor="text1"/>
          <w:kern w:val="0"/>
          <w:sz w:val="32"/>
          <w:szCs w:val="32"/>
          <w:highlight w:val="none"/>
        </w:rPr>
        <w:t>四、健全机制，筑牢政务公开发展根基</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（十一）加强组织领导。</w:t>
      </w:r>
      <w:r>
        <w:rPr>
          <w:rStyle w:val="5"/>
          <w:rFonts w:hint="eastAsia" w:ascii="仿宋_GB2312" w:hAnsi="仿宋_GB2312" w:eastAsia="仿宋_GB2312" w:cs="仿宋_GB2312"/>
          <w:color w:val="000000" w:themeColor="text1"/>
          <w:kern w:val="0"/>
          <w:sz w:val="32"/>
          <w:szCs w:val="32"/>
        </w:rPr>
        <w:t>各级各部门要坚持党的领导，准确把握政策精神，定期研判工作难点，及时化解矛盾问题。各县（市、区）政务公开主管部门要切实发挥牵头作用，优化制度体系，充实政务公开工作队伍，有力有序推进政务公开各项工作落实。积极开展跨区域学习互鉴活动，加强工作调研和经验交流，吸收先进实践成果赋能工作创新。（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r>
        <w:rPr>
          <w:rStyle w:val="5"/>
          <w:rFonts w:hint="eastAsia" w:ascii="楷体_GB2312" w:hAnsi="楷体_GB2312" w:eastAsia="楷体_GB2312" w:cs="楷体_GB2312"/>
          <w:b w:val="0"/>
          <w:bCs w:val="0"/>
          <w:color w:val="000000"/>
          <w:kern w:val="0"/>
          <w:sz w:val="32"/>
          <w:szCs w:val="32"/>
        </w:rPr>
        <w:t>（十二）加强培训监督。</w:t>
      </w:r>
      <w:r>
        <w:rPr>
          <w:rStyle w:val="5"/>
          <w:rFonts w:hint="eastAsia" w:ascii="仿宋_GB2312" w:hAnsi="仿宋_GB2312" w:eastAsia="仿宋_GB2312" w:cs="仿宋_GB2312"/>
          <w:color w:val="000000" w:themeColor="text1"/>
          <w:kern w:val="0"/>
          <w:sz w:val="32"/>
          <w:szCs w:val="32"/>
        </w:rPr>
        <w:t>各级各部门要认真学习政务公开有关行政法规、政策文件和业务理论。围绕主动公开、依申请公开、政策解读、平台建设等专项工作开展专题培训指导。持续开展全市网站和政务新媒体日常监管工作。围绕主动公开、依申请公开、政策解读、渠道多元拓展、政务新媒体等重点工作，挖掘和总结典型经验，评选优秀案例，深化“公开聊亮”政务公开品牌建设，打造优秀子品牌，提升政务公开工作质效。（责任单位：市政府各部门，各县〔市、区〕人民政府、市属开发区管委会）</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各级各部门要对照本要点提出的重点任务，实时跟进推动，逐项抓好落实。落实情况要纳入政府信息公开工作年度报告予以公开，接受社会监督。</w:t>
      </w:r>
    </w:p>
    <w:p>
      <w:pPr>
        <w:pStyle w:val="2"/>
        <w:rPr>
          <w:rFonts w:hint="eastAsi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96733"/>
    <w:rsid w:val="DDFB07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83</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2025-07-22T09:40:46Z</dcterms:created>
  <dc:creator>user</dc:creator>
  <cp:lastModifiedBy>user</cp:lastModifiedBy>
  <dcterms:modified xsi:type="dcterms:W3CDTF">2025-07-23T11:55:39Z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