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A03A314">
      <w:pPr>
        <w:ind w:firstLine="2400" w:firstLineChars="500"/>
        <w:jc w:val="both"/>
        <w:rPr>
          <w:rFonts w:hint="default" w:ascii="楷体" w:hAnsi="楷体" w:eastAsia="楷体" w:cs="楷体"/>
          <w:sz w:val="48"/>
          <w:szCs w:val="56"/>
          <w:lang w:val="en-US" w:eastAsia="zh-CN"/>
        </w:rPr>
      </w:pPr>
      <w:r>
        <w:rPr>
          <w:rFonts w:hint="eastAsia" w:ascii="楷体" w:hAnsi="楷体" w:eastAsia="楷体" w:cs="楷体"/>
          <w:sz w:val="48"/>
          <w:szCs w:val="56"/>
          <w:lang w:val="en-US" w:eastAsia="zh-CN"/>
        </w:rPr>
        <w:t>教研活动记录表</w:t>
      </w:r>
    </w:p>
    <w:tbl>
      <w:tblPr>
        <w:tblStyle w:val="4"/>
        <w:tblW w:w="862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7"/>
        <w:gridCol w:w="1394"/>
        <w:gridCol w:w="1199"/>
        <w:gridCol w:w="1326"/>
        <w:gridCol w:w="1306"/>
        <w:gridCol w:w="1239"/>
        <w:gridCol w:w="1165"/>
      </w:tblGrid>
      <w:tr w14:paraId="697219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</w:trPr>
        <w:tc>
          <w:tcPr>
            <w:tcW w:w="4974" w:type="dxa"/>
            <w:gridSpan w:val="4"/>
            <w:noWrap w:val="0"/>
            <w:vAlign w:val="center"/>
          </w:tcPr>
          <w:p w14:paraId="0679865C">
            <w:pPr>
              <w:jc w:val="both"/>
              <w:rPr>
                <w:rFonts w:hint="default" w:ascii="仿宋" w:hAnsi="仿宋" w:eastAsia="仿宋" w:cs="仿宋"/>
                <w:b/>
                <w:bCs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30"/>
                <w:szCs w:val="30"/>
                <w:vertAlign w:val="baseline"/>
                <w:lang w:val="en-US" w:eastAsia="zh-CN"/>
              </w:rPr>
              <w:t>活动时间：2025.2.26</w:t>
            </w:r>
            <w:bookmarkStart w:id="0" w:name="_GoBack"/>
            <w:bookmarkEnd w:id="0"/>
          </w:p>
        </w:tc>
        <w:tc>
          <w:tcPr>
            <w:tcW w:w="3652" w:type="dxa"/>
            <w:gridSpan w:val="3"/>
            <w:noWrap w:val="0"/>
            <w:vAlign w:val="center"/>
          </w:tcPr>
          <w:p w14:paraId="2565AB6F">
            <w:pPr>
              <w:jc w:val="both"/>
              <w:rPr>
                <w:rFonts w:hint="eastAsia" w:ascii="仿宋" w:hAnsi="仿宋" w:eastAsia="仿宋" w:cs="仿宋"/>
                <w:b/>
                <w:bCs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30"/>
                <w:szCs w:val="30"/>
                <w:vertAlign w:val="baseline"/>
                <w:lang w:val="en-US" w:eastAsia="zh-CN"/>
              </w:rPr>
              <w:t>活动时长：35分钟</w:t>
            </w:r>
          </w:p>
        </w:tc>
      </w:tr>
      <w:tr w14:paraId="68F171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2" w:hRule="atLeast"/>
        </w:trPr>
        <w:tc>
          <w:tcPr>
            <w:tcW w:w="4974" w:type="dxa"/>
            <w:gridSpan w:val="4"/>
            <w:noWrap w:val="0"/>
            <w:vAlign w:val="center"/>
          </w:tcPr>
          <w:p w14:paraId="78811648">
            <w:pPr>
              <w:jc w:val="both"/>
              <w:rPr>
                <w:rFonts w:hint="eastAsia" w:ascii="仿宋" w:hAnsi="仿宋" w:eastAsia="仿宋" w:cs="仿宋"/>
                <w:b/>
                <w:bCs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30"/>
                <w:szCs w:val="30"/>
                <w:vertAlign w:val="baseline"/>
                <w:lang w:val="en-US" w:eastAsia="zh-CN"/>
              </w:rPr>
              <w:t>活动地点：听障三年级</w:t>
            </w:r>
          </w:p>
        </w:tc>
        <w:tc>
          <w:tcPr>
            <w:tcW w:w="3652" w:type="dxa"/>
            <w:gridSpan w:val="3"/>
            <w:noWrap w:val="0"/>
            <w:vAlign w:val="center"/>
          </w:tcPr>
          <w:p w14:paraId="539D4DA9">
            <w:pPr>
              <w:jc w:val="both"/>
              <w:rPr>
                <w:rFonts w:hint="eastAsia" w:ascii="仿宋" w:hAnsi="仿宋" w:eastAsia="仿宋" w:cs="仿宋"/>
                <w:b/>
                <w:bCs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30"/>
                <w:szCs w:val="30"/>
                <w:vertAlign w:val="baseline"/>
                <w:lang w:val="en-US" w:eastAsia="zh-CN"/>
              </w:rPr>
              <w:t>主讲人（主持人）：李昊林</w:t>
            </w:r>
          </w:p>
        </w:tc>
      </w:tr>
      <w:tr w14:paraId="279294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7" w:hRule="atLeast"/>
        </w:trPr>
        <w:tc>
          <w:tcPr>
            <w:tcW w:w="8626" w:type="dxa"/>
            <w:gridSpan w:val="7"/>
            <w:noWrap w:val="0"/>
            <w:vAlign w:val="center"/>
          </w:tcPr>
          <w:p w14:paraId="4E9B0BC2">
            <w:pPr>
              <w:jc w:val="both"/>
              <w:rPr>
                <w:rFonts w:hint="eastAsia" w:ascii="仿宋" w:hAnsi="仿宋" w:eastAsia="仿宋" w:cs="仿宋"/>
                <w:b/>
                <w:bCs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30"/>
                <w:szCs w:val="30"/>
                <w:vertAlign w:val="baseline"/>
                <w:lang w:val="en-US" w:eastAsia="zh-CN"/>
              </w:rPr>
              <w:t>活动参与人员：语文组全体教师</w:t>
            </w:r>
          </w:p>
        </w:tc>
      </w:tr>
      <w:tr w14:paraId="166740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</w:trPr>
        <w:tc>
          <w:tcPr>
            <w:tcW w:w="8626" w:type="dxa"/>
            <w:gridSpan w:val="7"/>
            <w:noWrap w:val="0"/>
            <w:vAlign w:val="center"/>
          </w:tcPr>
          <w:p w14:paraId="150FC5B5">
            <w:pPr>
              <w:jc w:val="both"/>
              <w:rPr>
                <w:rFonts w:hint="default" w:ascii="仿宋" w:hAnsi="仿宋" w:eastAsia="仿宋" w:cs="仿宋"/>
                <w:b/>
                <w:bCs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30"/>
                <w:szCs w:val="30"/>
                <w:vertAlign w:val="baseline"/>
                <w:lang w:val="en-US" w:eastAsia="zh-CN"/>
              </w:rPr>
              <w:t>活动主题：省级课题研讨一</w:t>
            </w:r>
          </w:p>
        </w:tc>
      </w:tr>
      <w:tr w14:paraId="36636A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2" w:type="dxa"/>
            <w:vMerge w:val="restart"/>
            <w:noWrap w:val="0"/>
            <w:vAlign w:val="center"/>
          </w:tcPr>
          <w:p w14:paraId="79E99844">
            <w:pPr>
              <w:jc w:val="both"/>
              <w:rPr>
                <w:rFonts w:hint="default" w:ascii="仿宋" w:hAnsi="仿宋" w:eastAsia="仿宋" w:cs="仿宋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32"/>
                <w:vertAlign w:val="baseline"/>
                <w:lang w:val="en-US" w:eastAsia="zh-CN"/>
              </w:rPr>
              <w:t>活动方式</w:t>
            </w:r>
          </w:p>
        </w:tc>
        <w:tc>
          <w:tcPr>
            <w:tcW w:w="1317" w:type="dxa"/>
            <w:noWrap w:val="0"/>
            <w:vAlign w:val="center"/>
          </w:tcPr>
          <w:p w14:paraId="65147554">
            <w:pPr>
              <w:jc w:val="both"/>
              <w:rPr>
                <w:rFonts w:hint="default" w:ascii="仿宋" w:hAnsi="仿宋" w:eastAsia="仿宋" w:cs="仿宋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32"/>
                <w:vertAlign w:val="baseline"/>
                <w:lang w:val="en-US" w:eastAsia="zh-CN"/>
              </w:rPr>
              <w:t>理论学习</w:t>
            </w:r>
          </w:p>
        </w:tc>
        <w:tc>
          <w:tcPr>
            <w:tcW w:w="1230" w:type="dxa"/>
            <w:noWrap w:val="0"/>
            <w:vAlign w:val="center"/>
          </w:tcPr>
          <w:p w14:paraId="7E988A88">
            <w:pPr>
              <w:jc w:val="both"/>
              <w:rPr>
                <w:rFonts w:hint="default" w:ascii="仿宋" w:hAnsi="仿宋" w:eastAsia="仿宋" w:cs="仿宋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32"/>
                <w:vertAlign w:val="baseline"/>
                <w:lang w:val="en-US" w:eastAsia="zh-CN"/>
              </w:rPr>
              <w:t>观摩研讨</w:t>
            </w:r>
          </w:p>
        </w:tc>
        <w:tc>
          <w:tcPr>
            <w:tcW w:w="1215" w:type="dxa"/>
            <w:noWrap w:val="0"/>
            <w:vAlign w:val="center"/>
          </w:tcPr>
          <w:p w14:paraId="68D0CED9">
            <w:pPr>
              <w:jc w:val="both"/>
              <w:rPr>
                <w:rFonts w:hint="default" w:ascii="仿宋" w:hAnsi="仿宋" w:eastAsia="仿宋" w:cs="仿宋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32"/>
                <w:vertAlign w:val="baseline"/>
                <w:lang w:val="en-US" w:eastAsia="zh-CN"/>
              </w:rPr>
              <w:t>座谈交流</w:t>
            </w:r>
          </w:p>
        </w:tc>
        <w:tc>
          <w:tcPr>
            <w:tcW w:w="1185" w:type="dxa"/>
            <w:noWrap w:val="0"/>
            <w:vAlign w:val="center"/>
          </w:tcPr>
          <w:p w14:paraId="6BADF510">
            <w:pPr>
              <w:jc w:val="both"/>
              <w:rPr>
                <w:rFonts w:hint="default" w:ascii="仿宋" w:hAnsi="仿宋" w:eastAsia="仿宋" w:cs="仿宋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32"/>
                <w:vertAlign w:val="baseline"/>
                <w:lang w:val="en-US" w:eastAsia="zh-CN"/>
              </w:rPr>
              <w:t>教案分析</w:t>
            </w:r>
          </w:p>
        </w:tc>
        <w:tc>
          <w:tcPr>
            <w:tcW w:w="1275" w:type="dxa"/>
            <w:noWrap w:val="0"/>
            <w:vAlign w:val="center"/>
          </w:tcPr>
          <w:p w14:paraId="05FAEA67">
            <w:pPr>
              <w:jc w:val="both"/>
              <w:rPr>
                <w:rFonts w:hint="default" w:ascii="仿宋" w:hAnsi="仿宋" w:eastAsia="仿宋" w:cs="仿宋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32"/>
                <w:vertAlign w:val="baseline"/>
                <w:lang w:val="en-US" w:eastAsia="zh-CN"/>
              </w:rPr>
              <w:t>手语学习</w:t>
            </w:r>
          </w:p>
        </w:tc>
        <w:tc>
          <w:tcPr>
            <w:tcW w:w="1192" w:type="dxa"/>
            <w:noWrap w:val="0"/>
            <w:vAlign w:val="center"/>
          </w:tcPr>
          <w:p w14:paraId="18437868">
            <w:pPr>
              <w:jc w:val="both"/>
              <w:rPr>
                <w:rFonts w:hint="default" w:ascii="仿宋" w:hAnsi="仿宋" w:eastAsia="仿宋" w:cs="仿宋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32"/>
                <w:vertAlign w:val="baseline"/>
                <w:lang w:val="en-US" w:eastAsia="zh-CN"/>
              </w:rPr>
              <w:t>其它</w:t>
            </w:r>
          </w:p>
        </w:tc>
      </w:tr>
      <w:tr w14:paraId="36F63C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2" w:type="dxa"/>
            <w:vMerge w:val="continue"/>
            <w:noWrap w:val="0"/>
            <w:vAlign w:val="center"/>
          </w:tcPr>
          <w:p w14:paraId="15D5EE1A">
            <w:pPr>
              <w:jc w:val="both"/>
              <w:rPr>
                <w:rFonts w:hint="default" w:ascii="仿宋" w:hAnsi="仿宋" w:eastAsia="仿宋" w:cs="仿宋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317" w:type="dxa"/>
            <w:noWrap w:val="0"/>
            <w:vAlign w:val="center"/>
          </w:tcPr>
          <w:p w14:paraId="1E5211A7">
            <w:pPr>
              <w:ind w:firstLine="482" w:firstLineChars="200"/>
              <w:jc w:val="both"/>
              <w:rPr>
                <w:rFonts w:hint="default" w:ascii="仿宋" w:hAnsi="仿宋" w:eastAsia="仿宋" w:cs="仿宋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default" w:ascii="Arial" w:hAnsi="Arial" w:eastAsia="仿宋" w:cs="Arial"/>
                <w:b/>
                <w:bCs/>
                <w:sz w:val="24"/>
                <w:szCs w:val="32"/>
                <w:vertAlign w:val="baseline"/>
                <w:lang w:val="en-US" w:eastAsia="zh-CN"/>
              </w:rPr>
              <w:t>√</w:t>
            </w:r>
          </w:p>
        </w:tc>
        <w:tc>
          <w:tcPr>
            <w:tcW w:w="1230" w:type="dxa"/>
            <w:noWrap w:val="0"/>
            <w:vAlign w:val="center"/>
          </w:tcPr>
          <w:p w14:paraId="0170E398">
            <w:pPr>
              <w:jc w:val="both"/>
              <w:rPr>
                <w:rFonts w:hint="default" w:ascii="仿宋" w:hAnsi="仿宋" w:eastAsia="仿宋" w:cs="仿宋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215" w:type="dxa"/>
            <w:noWrap w:val="0"/>
            <w:vAlign w:val="center"/>
          </w:tcPr>
          <w:p w14:paraId="2D72AF40">
            <w:pPr>
              <w:ind w:firstLine="482" w:firstLineChars="200"/>
              <w:jc w:val="both"/>
              <w:rPr>
                <w:rFonts w:hint="default" w:ascii="仿宋" w:hAnsi="仿宋" w:eastAsia="仿宋" w:cs="仿宋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default" w:ascii="Arial" w:hAnsi="Arial" w:eastAsia="仿宋" w:cs="Arial"/>
                <w:b/>
                <w:bCs/>
                <w:sz w:val="24"/>
                <w:szCs w:val="32"/>
                <w:vertAlign w:val="baseline"/>
                <w:lang w:val="en-US" w:eastAsia="zh-CN"/>
              </w:rPr>
              <w:t>√</w:t>
            </w:r>
          </w:p>
        </w:tc>
        <w:tc>
          <w:tcPr>
            <w:tcW w:w="1185" w:type="dxa"/>
            <w:noWrap w:val="0"/>
            <w:vAlign w:val="center"/>
          </w:tcPr>
          <w:p w14:paraId="5714DE47">
            <w:pPr>
              <w:ind w:firstLine="482" w:firstLineChars="200"/>
              <w:jc w:val="both"/>
              <w:rPr>
                <w:rFonts w:hint="default" w:ascii="仿宋" w:hAnsi="仿宋" w:eastAsia="仿宋" w:cs="仿宋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default" w:ascii="Arial" w:hAnsi="Arial" w:eastAsia="仿宋" w:cs="Arial"/>
                <w:b/>
                <w:bCs/>
                <w:sz w:val="24"/>
                <w:szCs w:val="32"/>
                <w:vertAlign w:val="baseline"/>
                <w:lang w:val="en-US" w:eastAsia="zh-CN"/>
              </w:rPr>
              <w:t>√</w:t>
            </w:r>
          </w:p>
        </w:tc>
        <w:tc>
          <w:tcPr>
            <w:tcW w:w="1275" w:type="dxa"/>
            <w:noWrap w:val="0"/>
            <w:vAlign w:val="center"/>
          </w:tcPr>
          <w:p w14:paraId="36E2D716">
            <w:pPr>
              <w:jc w:val="both"/>
              <w:rPr>
                <w:rFonts w:hint="default" w:ascii="仿宋" w:hAnsi="仿宋" w:eastAsia="仿宋" w:cs="仿宋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192" w:type="dxa"/>
            <w:noWrap w:val="0"/>
            <w:vAlign w:val="center"/>
          </w:tcPr>
          <w:p w14:paraId="3E67D334">
            <w:pPr>
              <w:jc w:val="both"/>
              <w:rPr>
                <w:rFonts w:hint="default" w:ascii="仿宋" w:hAnsi="仿宋" w:eastAsia="仿宋" w:cs="仿宋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</w:p>
        </w:tc>
      </w:tr>
      <w:tr w14:paraId="217031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1212" w:type="dxa"/>
            <w:vMerge w:val="restart"/>
            <w:noWrap w:val="0"/>
            <w:vAlign w:val="center"/>
          </w:tcPr>
          <w:p w14:paraId="2BE06AC0">
            <w:pPr>
              <w:jc w:val="center"/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  <w:t>活</w:t>
            </w:r>
          </w:p>
          <w:p w14:paraId="57BEF8C6">
            <w:pPr>
              <w:jc w:val="center"/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  <w:t>动</w:t>
            </w:r>
          </w:p>
          <w:p w14:paraId="61FC365B">
            <w:pPr>
              <w:jc w:val="center"/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  <w:t>内</w:t>
            </w:r>
          </w:p>
          <w:p w14:paraId="0FE40735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  <w:t>容</w:t>
            </w:r>
          </w:p>
        </w:tc>
        <w:tc>
          <w:tcPr>
            <w:tcW w:w="7414" w:type="dxa"/>
            <w:gridSpan w:val="6"/>
            <w:noWrap w:val="0"/>
            <w:vAlign w:val="center"/>
          </w:tcPr>
          <w:p w14:paraId="66B84A23">
            <w:pPr>
              <w:jc w:val="both"/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30"/>
                <w:szCs w:val="30"/>
                <w:vertAlign w:val="baseline"/>
                <w:lang w:val="en-US" w:eastAsia="zh-CN"/>
              </w:rPr>
              <w:t>活动目标：</w:t>
            </w:r>
          </w:p>
        </w:tc>
      </w:tr>
      <w:tr w14:paraId="5388AB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8" w:hRule="atLeast"/>
        </w:trPr>
        <w:tc>
          <w:tcPr>
            <w:tcW w:w="1212" w:type="dxa"/>
            <w:vMerge w:val="continue"/>
            <w:noWrap w:val="0"/>
            <w:vAlign w:val="top"/>
          </w:tcPr>
          <w:p w14:paraId="39CBF056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7414" w:type="dxa"/>
            <w:gridSpan w:val="6"/>
            <w:noWrap w:val="0"/>
            <w:vAlign w:val="center"/>
          </w:tcPr>
          <w:p w14:paraId="6E96AF92">
            <w:pPr>
              <w:keepNext w:val="0"/>
              <w:keepLines w:val="0"/>
              <w:widowControl/>
              <w:suppressLineNumbers w:val="0"/>
              <w:pBdr>
                <w:left w:val="none" w:color="auto" w:sz="0" w:space="0"/>
              </w:pBdr>
              <w:ind w:firstLine="600" w:firstLineChars="200"/>
              <w:jc w:val="left"/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  <w:t>集体研讨课题发展方向，如何结合康教结合开展语文教学。</w:t>
            </w:r>
          </w:p>
        </w:tc>
      </w:tr>
      <w:tr w14:paraId="04EAB1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7" w:hRule="atLeast"/>
        </w:trPr>
        <w:tc>
          <w:tcPr>
            <w:tcW w:w="1212" w:type="dxa"/>
            <w:vMerge w:val="continue"/>
            <w:noWrap w:val="0"/>
            <w:vAlign w:val="top"/>
          </w:tcPr>
          <w:p w14:paraId="684FFCC5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7414" w:type="dxa"/>
            <w:gridSpan w:val="6"/>
            <w:noWrap w:val="0"/>
            <w:vAlign w:val="center"/>
          </w:tcPr>
          <w:p w14:paraId="00E97C88">
            <w:pPr>
              <w:jc w:val="both"/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30"/>
                <w:szCs w:val="30"/>
                <w:vertAlign w:val="baseline"/>
                <w:lang w:val="en-US" w:eastAsia="zh-CN"/>
              </w:rPr>
              <w:t>活动过程：</w:t>
            </w:r>
          </w:p>
        </w:tc>
      </w:tr>
      <w:tr w14:paraId="32CF99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212" w:type="dxa"/>
            <w:vMerge w:val="continue"/>
            <w:noWrap w:val="0"/>
            <w:vAlign w:val="top"/>
          </w:tcPr>
          <w:p w14:paraId="0280799C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7414" w:type="dxa"/>
            <w:gridSpan w:val="6"/>
            <w:vMerge w:val="restart"/>
            <w:noWrap w:val="0"/>
            <w:vAlign w:val="top"/>
          </w:tcPr>
          <w:p w14:paraId="5E5BFC54">
            <w:pPr>
              <w:keepNext w:val="0"/>
              <w:keepLines w:val="0"/>
              <w:pageBreakBefore w:val="0"/>
              <w:widowControl/>
              <w:suppressLineNumbers w:val="0"/>
              <w:pBdr>
                <w:lef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 w:bidi="ar"/>
              </w:rPr>
              <w:t>张晓倩：医学康复与语文教学的结合点在哪里？比如利用拼音教学渗透构音训练，在课文朗读中设计呼吸练习；</w:t>
            </w:r>
          </w:p>
          <w:p w14:paraId="1CB22D20">
            <w:pPr>
              <w:keepNext w:val="0"/>
              <w:keepLines w:val="0"/>
              <w:pageBreakBefore w:val="0"/>
              <w:widowControl/>
              <w:suppressLineNumbers w:val="0"/>
              <w:pBdr>
                <w:lef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 w:bidi="ar"/>
              </w:rPr>
              <w:t>朱雪婷：必须保留聋教育特色——原文件中的手语视觉化、情景模拟仍是基础，不能因强调发音就弱化这些；</w:t>
            </w:r>
          </w:p>
          <w:p w14:paraId="484C3345">
            <w:pPr>
              <w:keepNext w:val="0"/>
              <w:keepLines w:val="0"/>
              <w:pageBreakBefore w:val="0"/>
              <w:widowControl/>
              <w:suppressLineNumbers w:val="0"/>
              <w:pBdr>
                <w:lef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480" w:firstLineChars="200"/>
              <w:jc w:val="left"/>
              <w:textAlignment w:val="auto"/>
              <w:rPr>
                <w:rFonts w:hint="default" w:ascii="宋体" w:hAnsi="宋体" w:cs="宋体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 w:bidi="ar"/>
              </w:rPr>
              <w:t>杨朝晖：实操性要强，模拟那样能直接搬进课堂的活动设计。</w:t>
            </w:r>
          </w:p>
          <w:p w14:paraId="1F2DA06F">
            <w:pPr>
              <w:keepNext w:val="0"/>
              <w:keepLines w:val="0"/>
              <w:pageBreakBefore w:val="0"/>
              <w:widowControl/>
              <w:suppressLineNumbers w:val="0"/>
              <w:pBdr>
                <w:lef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 w:bidi="ar"/>
              </w:rPr>
              <w:t>任晓飞：理论部分准备引入"最近干预区域"概念，强调在语文课的自然语境中训练发音（而非孤立训练）。观摩环节重点展示如何把构音训练拆解到《秋天》的课文教学中，比如教"一片片"时同步练送气音/p/。特别要注意张晓倩老师提到的"多感官联动"，可以设计触觉反馈环节——让学生摸喉咙感受声带振动。</w:t>
            </w:r>
          </w:p>
          <w:p w14:paraId="0CC99C1A">
            <w:pPr>
              <w:keepNext w:val="0"/>
              <w:keepLines w:val="0"/>
              <w:pageBreakBefore w:val="0"/>
              <w:widowControl/>
              <w:suppressLineNumbers w:val="0"/>
              <w:pBdr>
                <w:lef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480" w:firstLineChars="200"/>
              <w:jc w:val="left"/>
              <w:textAlignment w:val="auto"/>
              <w:rPr>
                <w:rFonts w:hint="default" w:ascii="宋体" w:hAnsi="宋体" w:cs="宋体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 w:bidi="ar"/>
              </w:rPr>
              <w:t>周玲云：发音干预可能挤占常规教学时间。所以参考朱雪婷老师的做法，把康复目标嵌入现有教学环节，比如手语演示时同步做口型夸张化处理。</w:t>
            </w:r>
          </w:p>
        </w:tc>
      </w:tr>
      <w:tr w14:paraId="4624CE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8" w:hRule="atLeast"/>
        </w:trPr>
        <w:tc>
          <w:tcPr>
            <w:tcW w:w="1212" w:type="dxa"/>
            <w:vMerge w:val="restart"/>
            <w:noWrap w:val="0"/>
            <w:vAlign w:val="center"/>
          </w:tcPr>
          <w:p w14:paraId="006CAF5F">
            <w:pPr>
              <w:jc w:val="center"/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  <w:t>活</w:t>
            </w:r>
          </w:p>
          <w:p w14:paraId="0DA2BAA7">
            <w:pPr>
              <w:jc w:val="center"/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  <w:t>动</w:t>
            </w:r>
          </w:p>
          <w:p w14:paraId="3C995E3A">
            <w:pPr>
              <w:jc w:val="center"/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  <w:t>内</w:t>
            </w:r>
          </w:p>
          <w:p w14:paraId="4696561C">
            <w:pPr>
              <w:jc w:val="center"/>
              <w:rPr>
                <w:rFonts w:hint="default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  <w:t>容</w:t>
            </w:r>
          </w:p>
        </w:tc>
        <w:tc>
          <w:tcPr>
            <w:tcW w:w="7414" w:type="dxa"/>
            <w:gridSpan w:val="6"/>
            <w:vMerge w:val="continue"/>
            <w:noWrap w:val="0"/>
            <w:vAlign w:val="top"/>
          </w:tcPr>
          <w:p w14:paraId="2FFA7E1F">
            <w:pPr>
              <w:tabs>
                <w:tab w:val="left" w:pos="601"/>
              </w:tabs>
              <w:bidi w:val="0"/>
              <w:jc w:val="left"/>
              <w:rPr>
                <w:rFonts w:hint="eastAsia"/>
                <w:lang w:val="en-US" w:eastAsia="zh-CN"/>
              </w:rPr>
            </w:pPr>
          </w:p>
        </w:tc>
      </w:tr>
      <w:tr w14:paraId="5B71FA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7" w:hRule="atLeast"/>
        </w:trPr>
        <w:tc>
          <w:tcPr>
            <w:tcW w:w="1212" w:type="dxa"/>
            <w:vMerge w:val="continue"/>
            <w:noWrap w:val="0"/>
            <w:vAlign w:val="top"/>
          </w:tcPr>
          <w:p w14:paraId="05356EF5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7414" w:type="dxa"/>
            <w:gridSpan w:val="6"/>
            <w:noWrap w:val="0"/>
            <w:vAlign w:val="top"/>
          </w:tcPr>
          <w:p w14:paraId="7DE4D0CC">
            <w:pPr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30"/>
                <w:szCs w:val="30"/>
                <w:vertAlign w:val="baseline"/>
                <w:lang w:val="en-US" w:eastAsia="zh-CN"/>
              </w:rPr>
              <w:t>活动总结：</w:t>
            </w:r>
          </w:p>
        </w:tc>
      </w:tr>
      <w:tr w14:paraId="3D4405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atLeast"/>
        </w:trPr>
        <w:tc>
          <w:tcPr>
            <w:tcW w:w="1212" w:type="dxa"/>
            <w:vMerge w:val="continue"/>
            <w:noWrap w:val="0"/>
            <w:vAlign w:val="top"/>
          </w:tcPr>
          <w:p w14:paraId="10F10019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7414" w:type="dxa"/>
            <w:gridSpan w:val="6"/>
            <w:noWrap w:val="0"/>
            <w:vAlign w:val="top"/>
          </w:tcPr>
          <w:p w14:paraId="49650389">
            <w:pPr>
              <w:keepNext w:val="0"/>
              <w:keepLines w:val="0"/>
              <w:pageBreakBefore w:val="0"/>
              <w:widowControl/>
              <w:suppressLineNumbers w:val="0"/>
              <w:pBdr>
                <w:lef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480" w:firstLineChars="200"/>
              <w:jc w:val="left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 w:bidi="ar"/>
              </w:rPr>
              <w:t>本次教研活动，为李昊林老师主持的省级课题建议提供方向，使其亮点突出，过程更加流畅。</w:t>
            </w:r>
          </w:p>
        </w:tc>
      </w:tr>
      <w:tr w14:paraId="54408D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7" w:hRule="atLeast"/>
        </w:trPr>
        <w:tc>
          <w:tcPr>
            <w:tcW w:w="1212" w:type="dxa"/>
            <w:noWrap w:val="0"/>
            <w:vAlign w:val="top"/>
          </w:tcPr>
          <w:p w14:paraId="67892502">
            <w:pPr>
              <w:jc w:val="center"/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  <w:t>教</w:t>
            </w:r>
          </w:p>
          <w:p w14:paraId="32B1E9D2">
            <w:pPr>
              <w:jc w:val="center"/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  <w:t>研</w:t>
            </w:r>
          </w:p>
          <w:p w14:paraId="3786F93C">
            <w:pPr>
              <w:jc w:val="center"/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  <w:t>图</w:t>
            </w:r>
          </w:p>
          <w:p w14:paraId="08083F83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  <w:t>片</w:t>
            </w:r>
          </w:p>
        </w:tc>
        <w:tc>
          <w:tcPr>
            <w:tcW w:w="7414" w:type="dxa"/>
            <w:gridSpan w:val="6"/>
            <w:noWrap w:val="0"/>
            <w:vAlign w:val="top"/>
          </w:tcPr>
          <w:p w14:paraId="2A3DEC55">
            <w:pPr>
              <w:rPr>
                <w:rFonts w:hint="eastAsia"/>
                <w:vertAlign w:val="baseline"/>
                <w:lang w:val="en-US" w:eastAsia="zh-CN"/>
              </w:rPr>
            </w:pPr>
          </w:p>
          <w:p w14:paraId="0BC07199"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drawing>
                <wp:inline distT="0" distB="0" distL="114300" distR="114300">
                  <wp:extent cx="4566285" cy="3423285"/>
                  <wp:effectExtent l="0" t="0" r="5715" b="5715"/>
                  <wp:docPr id="1" name="图片 1" descr="fa8b5ec060890f24078fe7e40da225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fa8b5ec060890f24078fe7e40da2259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66285" cy="34232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C9D8CB3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</w:tr>
    </w:tbl>
    <w:p w14:paraId="515872AF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kyYWFjYTI0MjE3NWRmMDIxYmZmNjliMWY2MjAwZDcifQ=="/>
  </w:docVars>
  <w:rsids>
    <w:rsidRoot w:val="6EFF5DA1"/>
    <w:rsid w:val="0BCC064B"/>
    <w:rsid w:val="1C7C015A"/>
    <w:rsid w:val="24A56BFC"/>
    <w:rsid w:val="2DCE406C"/>
    <w:rsid w:val="3CC350EC"/>
    <w:rsid w:val="4BD2683E"/>
    <w:rsid w:val="5F632E23"/>
    <w:rsid w:val="6EFF5DA1"/>
    <w:rsid w:val="729A4F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">
    <w:name w:val="Strong"/>
    <w:basedOn w:val="5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520</Words>
  <Characters>527</Characters>
  <Lines>0</Lines>
  <Paragraphs>0</Paragraphs>
  <TotalTime>3</TotalTime>
  <ScaleCrop>false</ScaleCrop>
  <LinksUpToDate>false</LinksUpToDate>
  <CharactersWithSpaces>527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2024-09-11T07:09:00Z</dcterms:created>
  <dc:creator>小绵羊</dc:creator>
  <cp:lastModifiedBy>水 墨 云 烟</cp:lastModifiedBy>
  <dcterms:modified xsi:type="dcterms:W3CDTF">2025-06-25T08:56:26Z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825084D0E9EB43D581AE46FB72A8B29E_13</vt:lpwstr>
  </property>
  <property fmtid="{D5CDD505-2E9C-101B-9397-08002B2CF9AE}" pid="4" name="KSOTemplateDocerSaveRecord">
    <vt:lpwstr>eyJoZGlkIjoiMDkyYWFjYTI0MjE3NWRmMDIxYmZmNjliMWY2MjAwZDciLCJ1c2VySWQiOiIyNTU4NzYzMjkifQ==</vt:lpwstr>
  </property>
</Properties>
</file>