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560EE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36BC3D5F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24</w:t>
      </w:r>
      <w:r>
        <w:rPr>
          <w:rFonts w:ascii="Times New Roman" w:hAnsi="Times New Roman" w:eastAsia="仿宋" w:cs="Times New Roman"/>
          <w:b/>
          <w:sz w:val="32"/>
          <w:szCs w:val="32"/>
        </w:rPr>
        <w:t>-20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25</w:t>
      </w:r>
      <w:r>
        <w:rPr>
          <w:rFonts w:ascii="Times New Roman" w:hAnsi="Times New Roman" w:eastAsia="仿宋" w:cs="Times New Roman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</w:rPr>
        <w:t>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71E1A4F1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posOffset>16510</wp:posOffset>
                </wp:positionH>
                <wp:positionV relativeFrom="paragraph">
                  <wp:posOffset>361315</wp:posOffset>
                </wp:positionV>
                <wp:extent cx="5090795" cy="2540"/>
                <wp:effectExtent l="0" t="0" r="0" b="0"/>
                <wp:wrapNone/>
                <wp:docPr id="1026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90795" cy="25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flip:y;margin-left:1.3pt;margin-top:28.45pt;height:0.2pt;width:400.85pt;mso-position-horizontal-relative:margin;z-index:251659264;mso-width-relative:page;mso-height-relative:page;" filled="f" stroked="t" coordsize="21600,21600" o:gfxdata="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c9R9rVAAAABwEAAA8AAAAAAAAAAQAgAAAAIgAAAGRycy9kb3ducmV2&#10;LnhtbFBLAQIUABQAAAAIAIdO4kB5CDsz/wEAAPIDAAAOAAAAAAAAAAEAIAAAACQBAABkcnMvZTJv&#10;RG9jLnhtbFBLBQYAAAAABgAGAFkBAACV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班级：视障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中职一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科目：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中医诊断学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教师：贠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俊豪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 w14:paraId="3738C22B"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一、学情分析</w:t>
      </w:r>
    </w:p>
    <w:p w14:paraId="5829B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视障部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职业班</w:t>
      </w:r>
      <w:r>
        <w:rPr>
          <w:rFonts w:ascii="Times New Roman" w:hAnsi="Times New Roman" w:eastAsia="仿宋" w:cs="Times New Roman"/>
          <w:sz w:val="32"/>
          <w:szCs w:val="32"/>
        </w:rPr>
        <w:t>共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" w:cs="Times New Roman"/>
          <w:sz w:val="32"/>
          <w:szCs w:val="32"/>
        </w:rPr>
        <w:t>名学生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其中使用大字教材、低视力生有4人，使用盲文、全盲学生有3人，在学习过程中面临诸多挑战。他们难以通过视觉观察获取信息，对直观图像和色彩的感知存在缺失，这使得传统教学中依赖视觉的诊断方法学习变得困难重重，如望诊部分。然而，他们的听觉和触觉敏锐，能够通过声音和触摸来感知世界。此前，学生已学习了中医基础理论，对中医的基本概念和思维方式有了一定了解，这为中医诊断学的学习奠定了基础。但中医诊断学中涉及的大量抽象概念和复杂的诊断逻辑，仍需要教师采用多样化、针对性强的教学方法，帮助学生克服困难，掌握知识和技能。</w:t>
      </w:r>
    </w:p>
    <w:p w14:paraId="13DCF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</w:p>
    <w:p w14:paraId="59CBA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二、教材分析</w:t>
      </w:r>
    </w:p>
    <w:p w14:paraId="12B4C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本课程选用盲文出版社的教材，充分考虑了视障学生的学习特点。教材以盲文形式呈现，文字表述简洁明了、通俗易懂，便于学生阅读和理解。书中配备了丰富的可触摸式图表、模型说明以及详细的音频讲解，帮助学生通过触觉和听觉来学习。内容涵盖中医诊断学的各个方面，包括问诊、望诊、闻诊、切诊等基本诊断方法，以及八纲辨证、病因辨证、气血津液辨证等辨证方法，知识体系完整，紧密结合中医康复技术专业的实际需求，为学生后续学习中医康复治疗技术提供了必要的诊断知识支撑。</w:t>
      </w:r>
    </w:p>
    <w:p w14:paraId="24983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</w:p>
    <w:p w14:paraId="49EEA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三、学习目标</w:t>
      </w:r>
    </w:p>
    <w:p w14:paraId="2B556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知识目标：学生能准确阐述中医诊断学的基本概念、基本原则和主要内容，熟知问诊的内容、方法和技巧，牢记常见症状的临床表现及临床意义，清晰掌握望诊、闻诊、切诊的主要内容和诊断要点，深入理解八纲辨证、病因辨证、气血津液辨证等辨证方法的概念、内容和应用。</w:t>
      </w:r>
    </w:p>
    <w:p w14:paraId="33DBF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技能目标：熟练运用问诊技巧，准确收集患者的病史、症状等信息，借助触摸和听觉，能进行基本的望诊和闻诊操作，如辨别面色、声音、气味等，精准掌握切脉的方法和技巧，根据脉象判断疾病的性质和病情变化，学会运用所学的辨证方法，对常见病症进行准确辨证分析，为制定康复治疗方案提供依据。</w:t>
      </w:r>
    </w:p>
    <w:p w14:paraId="2E6ED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情感目标：激发学生对中医诊断学的学习兴趣和探索精神，培养学生严谨、认真、负责的职业态度，增强学生对中医文化的认同感和传承意识，使其在学习和实践中树立以患者为中心的服务理念。</w:t>
      </w:r>
    </w:p>
    <w:p w14:paraId="73B3A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</w:p>
    <w:p w14:paraId="13326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教学措施</w:t>
      </w:r>
    </w:p>
    <w:p w14:paraId="4EB77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多感官教学法：制作大量可触摸的教具，如面部模型（标注不同面色区域）、舌象模型、脉象模拟装置等，让学生通过触觉感知诊断信息；录制详细的音频资料，包括各种症状的描述、声音和气味的特点、辨证分析的过程等，帮助学生通过听觉学习；组织实践活动，让学生在自己和同学身上进行切脉、触摸身体形态等操作，强化动觉记忆。</w:t>
      </w:r>
    </w:p>
    <w:p w14:paraId="52858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案例教学法：收集丰富的临床案例，包括成功案例和失败案例，将案例以盲文和音频形式呈现给学生。组织学生进行案例讨论，引导学生运用所学的诊断知识进行分析，提出诊断思路和辨证结果，培养学生解决实际问题的能力。</w:t>
      </w:r>
    </w:p>
    <w:p w14:paraId="3C46C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小组合作学习：根据学生的学习能力和特点进行分组，每组推选一名组长。在学习过程中，小组成员相互交流、讨论，共同完成学习任务，如互相进行问诊练习、模拟临床诊断场景等。通过小组合作，培养学生的沟通能力和团队协作精神。</w:t>
      </w:r>
    </w:p>
    <w:p w14:paraId="69EAD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p w14:paraId="5CB19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五、教学进度安排</w:t>
      </w:r>
    </w:p>
    <w:p w14:paraId="710CE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37C234D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教学进度表</w:t>
      </w:r>
    </w:p>
    <w:tbl>
      <w:tblPr>
        <w:tblStyle w:val="4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 w14:paraId="49D11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</w:tcPr>
          <w:p w14:paraId="60506047">
            <w:pPr>
              <w:ind w:firstLine="321" w:firstLineChars="100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vAlign w:val="center"/>
          </w:tcPr>
          <w:p w14:paraId="77EC1F55">
            <w:pPr>
              <w:widowControl/>
              <w:ind w:firstLine="321" w:firstLineChars="100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</w:tcPr>
          <w:p w14:paraId="1BCC89C6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</w:tcPr>
          <w:p w14:paraId="2E719153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19A4C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2E692D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vAlign w:val="center"/>
          </w:tcPr>
          <w:p w14:paraId="6A4AD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852" w:type="dxa"/>
            <w:vAlign w:val="center"/>
          </w:tcPr>
          <w:p w14:paraId="7084EA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第一章 绪论</w:t>
            </w:r>
          </w:p>
        </w:tc>
        <w:tc>
          <w:tcPr>
            <w:tcW w:w="1170" w:type="dxa"/>
            <w:vAlign w:val="center"/>
          </w:tcPr>
          <w:p w14:paraId="68525A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6CF8E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A20CB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vAlign w:val="center"/>
          </w:tcPr>
          <w:p w14:paraId="26760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852" w:type="dxa"/>
            <w:vAlign w:val="center"/>
          </w:tcPr>
          <w:p w14:paraId="2DC81E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第二章 问诊（一）</w:t>
            </w:r>
          </w:p>
        </w:tc>
        <w:tc>
          <w:tcPr>
            <w:tcW w:w="1170" w:type="dxa"/>
            <w:vAlign w:val="center"/>
          </w:tcPr>
          <w:p w14:paraId="68520C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1EDD0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C84EC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vAlign w:val="center"/>
          </w:tcPr>
          <w:p w14:paraId="30059A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852" w:type="dxa"/>
            <w:vAlign w:val="center"/>
          </w:tcPr>
          <w:p w14:paraId="52C6EE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第二章 问诊（二）</w:t>
            </w:r>
          </w:p>
        </w:tc>
        <w:tc>
          <w:tcPr>
            <w:tcW w:w="1170" w:type="dxa"/>
            <w:vAlign w:val="center"/>
          </w:tcPr>
          <w:p w14:paraId="12BFC6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41743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9812E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vAlign w:val="center"/>
          </w:tcPr>
          <w:p w14:paraId="2EFB5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852" w:type="dxa"/>
            <w:vAlign w:val="center"/>
          </w:tcPr>
          <w:p w14:paraId="46C18C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第三章 望诊（一）</w:t>
            </w:r>
          </w:p>
        </w:tc>
        <w:tc>
          <w:tcPr>
            <w:tcW w:w="1170" w:type="dxa"/>
            <w:vAlign w:val="center"/>
          </w:tcPr>
          <w:p w14:paraId="3FC065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7662F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8DAB4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vAlign w:val="center"/>
          </w:tcPr>
          <w:p w14:paraId="1955E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852" w:type="dxa"/>
            <w:vAlign w:val="center"/>
          </w:tcPr>
          <w:p w14:paraId="6266E2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第三章 望诊（二）</w:t>
            </w:r>
          </w:p>
        </w:tc>
        <w:tc>
          <w:tcPr>
            <w:tcW w:w="1170" w:type="dxa"/>
            <w:vAlign w:val="center"/>
          </w:tcPr>
          <w:p w14:paraId="43C548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21706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1095B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vAlign w:val="center"/>
          </w:tcPr>
          <w:p w14:paraId="3A8EB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852" w:type="dxa"/>
            <w:vAlign w:val="center"/>
          </w:tcPr>
          <w:p w14:paraId="3D0BCE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第四章 闻诊</w:t>
            </w:r>
          </w:p>
        </w:tc>
        <w:tc>
          <w:tcPr>
            <w:tcW w:w="1170" w:type="dxa"/>
            <w:vAlign w:val="center"/>
          </w:tcPr>
          <w:p w14:paraId="1D929F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78E1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72663D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vAlign w:val="center"/>
          </w:tcPr>
          <w:p w14:paraId="74846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.4</w:t>
            </w:r>
          </w:p>
        </w:tc>
        <w:tc>
          <w:tcPr>
            <w:tcW w:w="4852" w:type="dxa"/>
            <w:vAlign w:val="center"/>
          </w:tcPr>
          <w:p w14:paraId="479D01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第五章 切诊（一）</w:t>
            </w:r>
          </w:p>
        </w:tc>
        <w:tc>
          <w:tcPr>
            <w:tcW w:w="1170" w:type="dxa"/>
            <w:vAlign w:val="center"/>
          </w:tcPr>
          <w:p w14:paraId="386A8B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2BAE3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46E41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vAlign w:val="center"/>
          </w:tcPr>
          <w:p w14:paraId="0341E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852" w:type="dxa"/>
            <w:vAlign w:val="center"/>
          </w:tcPr>
          <w:p w14:paraId="2DF6D0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第五章 切诊（二）</w:t>
            </w:r>
          </w:p>
        </w:tc>
        <w:tc>
          <w:tcPr>
            <w:tcW w:w="1170" w:type="dxa"/>
            <w:vAlign w:val="center"/>
          </w:tcPr>
          <w:p w14:paraId="65659E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73EA9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FFCAA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vAlign w:val="center"/>
          </w:tcPr>
          <w:p w14:paraId="14B5F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4852" w:type="dxa"/>
            <w:vAlign w:val="center"/>
          </w:tcPr>
          <w:p w14:paraId="27C992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第六章 八纲辨证（一）</w:t>
            </w:r>
          </w:p>
        </w:tc>
        <w:tc>
          <w:tcPr>
            <w:tcW w:w="1170" w:type="dxa"/>
            <w:vAlign w:val="center"/>
          </w:tcPr>
          <w:p w14:paraId="07D158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10227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24291E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vAlign w:val="center"/>
          </w:tcPr>
          <w:p w14:paraId="416DD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4852" w:type="dxa"/>
            <w:vAlign w:val="center"/>
          </w:tcPr>
          <w:p w14:paraId="7E6E7E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第六章 八纲辨证（二）</w:t>
            </w:r>
          </w:p>
        </w:tc>
        <w:tc>
          <w:tcPr>
            <w:tcW w:w="1170" w:type="dxa"/>
            <w:vAlign w:val="center"/>
          </w:tcPr>
          <w:p w14:paraId="6CA4C9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6255F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2801C6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vAlign w:val="center"/>
          </w:tcPr>
          <w:p w14:paraId="58E39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5.2</w:t>
            </w:r>
          </w:p>
        </w:tc>
        <w:tc>
          <w:tcPr>
            <w:tcW w:w="4852" w:type="dxa"/>
            <w:vAlign w:val="center"/>
          </w:tcPr>
          <w:p w14:paraId="123B8F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五一假期</w:t>
            </w:r>
          </w:p>
        </w:tc>
        <w:tc>
          <w:tcPr>
            <w:tcW w:w="1170" w:type="dxa"/>
            <w:vAlign w:val="center"/>
          </w:tcPr>
          <w:p w14:paraId="5EDD26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  <w:tr w14:paraId="10DAE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39F6A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17BD3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5.5-5.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852" w:type="dxa"/>
            <w:vAlign w:val="center"/>
          </w:tcPr>
          <w:p w14:paraId="0695C9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第七章 病因辩证（一）</w:t>
            </w:r>
          </w:p>
        </w:tc>
        <w:tc>
          <w:tcPr>
            <w:tcW w:w="1170" w:type="dxa"/>
            <w:vAlign w:val="center"/>
          </w:tcPr>
          <w:p w14:paraId="071A72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3CCB2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835F6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68CAF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4852" w:type="dxa"/>
            <w:vAlign w:val="center"/>
          </w:tcPr>
          <w:p w14:paraId="52FC54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 xml:space="preserve">第七章 病因辩证（二） </w:t>
            </w:r>
          </w:p>
        </w:tc>
        <w:tc>
          <w:tcPr>
            <w:tcW w:w="1170" w:type="dxa"/>
            <w:vAlign w:val="center"/>
          </w:tcPr>
          <w:p w14:paraId="5DA698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4210A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705875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634C45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52" w:type="dxa"/>
            <w:vAlign w:val="center"/>
          </w:tcPr>
          <w:p w14:paraId="13D2A2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第八章 气血津夜辩证（一）</w:t>
            </w:r>
          </w:p>
        </w:tc>
        <w:tc>
          <w:tcPr>
            <w:tcW w:w="1170" w:type="dxa"/>
            <w:vAlign w:val="center"/>
          </w:tcPr>
          <w:p w14:paraId="693707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6BC90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4AF7B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2CC07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852" w:type="dxa"/>
            <w:vAlign w:val="center"/>
          </w:tcPr>
          <w:p w14:paraId="32AF2C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第八章 气血精津辩证（二）</w:t>
            </w:r>
          </w:p>
        </w:tc>
        <w:tc>
          <w:tcPr>
            <w:tcW w:w="1170" w:type="dxa"/>
            <w:vAlign w:val="center"/>
          </w:tcPr>
          <w:p w14:paraId="04DAA5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6B85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CBB33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0B34D6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852" w:type="dxa"/>
            <w:vAlign w:val="center"/>
          </w:tcPr>
          <w:p w14:paraId="20643A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第九章 脏腑辩证（一）</w:t>
            </w:r>
          </w:p>
        </w:tc>
        <w:tc>
          <w:tcPr>
            <w:tcW w:w="1170" w:type="dxa"/>
            <w:vAlign w:val="center"/>
          </w:tcPr>
          <w:p w14:paraId="6BA1B1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4A7C2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58672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0E4EA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52" w:type="dxa"/>
            <w:vAlign w:val="center"/>
          </w:tcPr>
          <w:p w14:paraId="1BCE2C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第九章 脏腑辩证（二）</w:t>
            </w:r>
          </w:p>
        </w:tc>
        <w:tc>
          <w:tcPr>
            <w:tcW w:w="1170" w:type="dxa"/>
            <w:vAlign w:val="center"/>
          </w:tcPr>
          <w:p w14:paraId="3D9B62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7237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1019E8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二八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638A9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4852" w:type="dxa"/>
            <w:vAlign w:val="center"/>
          </w:tcPr>
          <w:p w14:paraId="40DCBF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第十章 其他辩证方法</w:t>
            </w:r>
          </w:p>
        </w:tc>
        <w:tc>
          <w:tcPr>
            <w:tcW w:w="1170" w:type="dxa"/>
            <w:vAlign w:val="center"/>
          </w:tcPr>
          <w:p w14:paraId="32C8A1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 w14:paraId="4002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741774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第十九周</w:t>
            </w:r>
          </w:p>
        </w:tc>
        <w:tc>
          <w:tcPr>
            <w:tcW w:w="1690" w:type="dxa"/>
            <w:vAlign w:val="center"/>
          </w:tcPr>
          <w:p w14:paraId="2757B9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4852" w:type="dxa"/>
            <w:vAlign w:val="center"/>
          </w:tcPr>
          <w:p w14:paraId="05FC4F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期末复习</w:t>
            </w:r>
          </w:p>
        </w:tc>
        <w:tc>
          <w:tcPr>
            <w:tcW w:w="1170" w:type="dxa"/>
            <w:vAlign w:val="center"/>
          </w:tcPr>
          <w:p w14:paraId="0C3982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4</w:t>
            </w:r>
            <w:bookmarkStart w:id="0" w:name="_GoBack"/>
            <w:bookmarkEnd w:id="0"/>
          </w:p>
        </w:tc>
      </w:tr>
      <w:tr w14:paraId="71179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EA48C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第二十周</w:t>
            </w:r>
          </w:p>
        </w:tc>
        <w:tc>
          <w:tcPr>
            <w:tcW w:w="1690" w:type="dxa"/>
            <w:vAlign w:val="center"/>
          </w:tcPr>
          <w:p w14:paraId="45E2B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6.30-7.4</w:t>
            </w:r>
          </w:p>
        </w:tc>
        <w:tc>
          <w:tcPr>
            <w:tcW w:w="4852" w:type="dxa"/>
            <w:vAlign w:val="center"/>
          </w:tcPr>
          <w:p w14:paraId="4D93BC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期末测试</w:t>
            </w:r>
          </w:p>
        </w:tc>
        <w:tc>
          <w:tcPr>
            <w:tcW w:w="1170" w:type="dxa"/>
            <w:vAlign w:val="center"/>
          </w:tcPr>
          <w:p w14:paraId="4624F1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</w:tbl>
    <w:p w14:paraId="34516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40" w:firstLineChars="200"/>
        <w:textAlignment w:val="auto"/>
        <w:outlineLvl w:val="9"/>
        <w:rPr>
          <w:rFonts w:hint="default" w:ascii="Times New Roman" w:hAnsi="Times New Roman" w:eastAsia="黑体" w:cs="Times New Roman"/>
          <w:sz w:val="2"/>
          <w:szCs w:val="2"/>
          <w:lang w:val="en-US" w:eastAsia="zh-CN"/>
        </w:rPr>
      </w:pPr>
    </w:p>
    <w:p w14:paraId="13CC2E39"/>
    <w:p w14:paraId="1E914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51C5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08EC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2E2C2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99C0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0008E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7CA94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6BCEB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0OTMxYjlhYjNjMGVlNDU5OTNhZWYwOTlmOTk3M2EifQ=="/>
    <w:docVar w:name="KSO_WPS_MARK_KEY" w:val="a3e73adc-f3c3-4492-9de0-647d30f3b301"/>
  </w:docVars>
  <w:rsids>
    <w:rsidRoot w:val="00000000"/>
    <w:rsid w:val="0D0F23F9"/>
    <w:rsid w:val="147C0EB2"/>
    <w:rsid w:val="21440183"/>
    <w:rsid w:val="31901412"/>
    <w:rsid w:val="616B7F12"/>
    <w:rsid w:val="63BB1783"/>
    <w:rsid w:val="6944417A"/>
    <w:rsid w:val="7469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1542</Words>
  <Characters>1699</Characters>
  <Paragraphs>154</Paragraphs>
  <TotalTime>34</TotalTime>
  <ScaleCrop>false</ScaleCrop>
  <LinksUpToDate>false</LinksUpToDate>
  <CharactersWithSpaces>1735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 不甘</cp:lastModifiedBy>
  <dcterms:modified xsi:type="dcterms:W3CDTF">2025-02-16T12:49:41Z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0B30F529B5B64F1DBF03CC56B45DA0BD_13</vt:lpwstr>
  </property>
  <property fmtid="{D5CDD505-2E9C-101B-9397-08002B2CF9AE}" pid="4" name="KSOTemplateDocerSaveRecord">
    <vt:lpwstr>eyJoZGlkIjoiYjY0OTMxYjlhYjNjMGVlNDU5OTNhZWYwOTlmOTk3M2EiLCJ1c2VySWQiOiI0MjI1MjQxNDUifQ==</vt:lpwstr>
  </property>
</Properties>
</file>