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仿宋" w:cs="Times New Roman"/>
          <w:b/>
          <w:sz w:val="32"/>
          <w:szCs w:val="32"/>
        </w:rPr>
        <w:t>-20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仿宋" w:cs="Times New Roman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</w:rPr>
        <w:t>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361315</wp:posOffset>
                </wp:positionV>
                <wp:extent cx="5090795" cy="254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079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3pt;margin-top:28.45pt;height:0.2pt;width:400.85pt;mso-position-horizontal-relative:margin;z-index:251659264;mso-width-relative:page;mso-height-relative:page;" filled="f" stroked="t" coordsize="21600,21600" o:gfxdata="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HPUfa1QAAAAcBAAAPAAAAAAAAAAEAIAAAACIA&#10;AABkcnMvZG93bnJldi54bWxQSwECFAAUAAAACACHTuJA1N+y7tMBAABwAwAADgAAAAAAAAABACAA&#10;AAAkAQAAZHJzL2Uyb0RvYy54bWxQSwUGAAAAAAYABgBZAQAAa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班级：视障部</w:t>
      </w:r>
      <w:r>
        <w:rPr>
          <w:rFonts w:hint="eastAsia" w:ascii="仿宋" w:hAnsi="仿宋" w:eastAsia="仿宋"/>
          <w:sz w:val="32"/>
          <w:szCs w:val="32"/>
          <w:lang w:eastAsia="zh-CN"/>
        </w:rPr>
        <w:t>高一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科目：语文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王媛鑫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一、学情分析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视障部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高一</w:t>
      </w:r>
      <w:r>
        <w:rPr>
          <w:rFonts w:hint="eastAsia" w:ascii="Times New Roman" w:hAnsi="Times New Roman" w:eastAsia="仿宋" w:cs="Times New Roman"/>
          <w:sz w:val="32"/>
          <w:szCs w:val="32"/>
        </w:rPr>
        <w:t>共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</w:rPr>
        <w:t>名学生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初中基础不够扎实，阅读能力、分析鉴赏能力及对文章整体感知能力欠佳。所以，在对学生全面强化督促的同时，如何抓好基础，强化针对性，有的放矢，探索改进讲与练的方法并努力提高效益，成为这一阶段教学的重中之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二、教材分析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语文必修下册分为阅读鉴赏、表达交流、梳理探究、名著导读四个部分。前 3 个部分纳入课内学习计划，名著导读在课外自主安排。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三、学习目标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全面提高学生的语文素养，正确把握语文教育特点，不断地提高学生正确理解和运用祖国语言文字的能力，重视积累、感悟和熏陶和培养语感，使学生养成良好的语文研究性学习习惯。积极倡导自主、合作、探究的学习方式，加强文言文阅读教学，灵活运用语言文字，强化写作指导，提高口语交际能力，不断地培养学生研究性学习精神，努力开发有活力的语文新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教学措施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学习新教材、新课标，明确课标对高一年级的要求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;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认真钻研新教材，扎扎实实备好课，讲好课，充分发挥课上时间的效力，科学支配时间，注重教学效果。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提高备课质量。对每一个单元每一篇课文，都要详细分析教材的重点、难点、基点、疑点，设计好课堂练习，灵活处理教材。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作文教学依据教材编写体例，完成教本上的表达交流训练，但又适当超越教材。调动学生参与作文批改与点评，提高批改实效。重视自能作文，要引导学生、要求学生多练笔，教师认真批阅。本学期拟做大小作文 8~10 次，课外练笔若干。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充分利用国学经典诵读扩展学生的阅读面，培养学生自学语文的能力。积极开展周末阅读活动，每周精选较有思想性、篇幅短小的现当代美文和文言短文，提供给学生阅读，努力通过学生的自身积累和教师的指导，从阅读习惯、语感等多方面提升学生阅读能力。</w:t>
      </w:r>
    </w:p>
    <w:p>
      <w:pPr>
        <w:spacing w:line="52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要提倡自主、探究、合作的学习方式。要有计划地引导学生自学，引导他们自主钻研课文，自奋其力，自力得知;要突出研究性学习特点，拓展课堂内容，深化课文理解;要组织合作学习小组，鼓励学生相互切磋，相互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五、教学进度安排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tbl>
      <w:tblPr>
        <w:tblStyle w:val="7"/>
        <w:tblW w:w="93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</w:tcPr>
          <w:p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2.17-2.21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第1课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2.2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-2.28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第2-3课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3-3.7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第4-6课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第7课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第8-9课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3.28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第四单元（一）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3.31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第四单元（二）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4.7-4.11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第10-11课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-4.18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21-4.25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期中学业考察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bookmarkStart w:id="0" w:name="_GoBack" w:colFirst="3" w:colLast="3"/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4.28-5.9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第12-13课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第14课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19-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  <w:t>第15课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6-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  <w:t>第16课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  <w:t>古诗词诵读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9-6.13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  <w:t>整本书阅读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6-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  <w:t>期末复习（一）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  <w:t>期末复习（二）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6.30-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7.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8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期末学业考察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system-u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1398</Words>
  <Characters>1610</Characters>
  <Lines>0</Lines>
  <Paragraphs>0</Paragraphs>
  <ScaleCrop>false</ScaleCrop>
  <LinksUpToDate>false</LinksUpToDate>
  <CharactersWithSpaces>1627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2023-02-06T18:07:00Z</dcterms:created>
  <dc:creator>DELL</dc:creator>
  <cp:lastModifiedBy>iPhone (2)</cp:lastModifiedBy>
  <dcterms:modified xsi:type="dcterms:W3CDTF">2025-02-16T13:49:55Z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2052-12.3.1</vt:lpwstr>
  </property>
  <property fmtid="{D5CDD505-2E9C-101B-9397-08002B2CF9AE}" pid="3" name="ICV">
    <vt:lpwstr>44B23C98EA8B45DA85282D45B81A9445</vt:lpwstr>
  </property>
</Properties>
</file>