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3731F0">
      <w:pPr>
        <w:jc w:val="center"/>
        <w:rPr>
          <w:rFonts w:hint="eastAsia" w:ascii="黑体" w:hAnsi="黑体" w:eastAsia="黑体"/>
          <w:sz w:val="44"/>
          <w:szCs w:val="44"/>
        </w:rPr>
      </w:pPr>
    </w:p>
    <w:p w14:paraId="332EB04E">
      <w:pPr>
        <w:jc w:val="center"/>
        <w:rPr>
          <w:rFonts w:ascii="黑体" w:hAnsi="黑体" w:eastAsia="黑体"/>
          <w:sz w:val="44"/>
          <w:szCs w:val="44"/>
        </w:rPr>
      </w:pPr>
      <w:r>
        <w:rPr>
          <w:rFonts w:hint="eastAsia" w:ascii="黑体" w:hAnsi="黑体" w:eastAsia="黑体"/>
          <w:sz w:val="44"/>
          <w:szCs w:val="44"/>
        </w:rPr>
        <w:t>聊城市特殊教育学校</w:t>
      </w:r>
    </w:p>
    <w:p w14:paraId="2CF2E1B3">
      <w:pPr>
        <w:jc w:val="center"/>
        <w:rPr>
          <w:rFonts w:ascii="仿宋" w:hAnsi="仿宋" w:eastAsia="仿宋"/>
          <w:b/>
          <w:sz w:val="32"/>
          <w:szCs w:val="32"/>
        </w:rPr>
      </w:pPr>
      <w:r>
        <w:rPr>
          <w:rFonts w:ascii="Times New Roman" w:hAnsi="Times New Roman" w:eastAsia="仿宋" w:cs="Times New Roman"/>
          <w:b/>
          <w:sz w:val="32"/>
          <w:szCs w:val="32"/>
        </w:rPr>
        <w:t>20</w:t>
      </w:r>
      <w:r>
        <w:rPr>
          <w:rFonts w:hint="eastAsia" w:ascii="Times New Roman" w:hAnsi="Times New Roman" w:eastAsia="仿宋" w:cs="Times New Roman"/>
          <w:b/>
          <w:sz w:val="32"/>
          <w:szCs w:val="32"/>
          <w:lang w:val="en-US" w:eastAsia="zh-CN"/>
        </w:rPr>
        <w:t>24</w:t>
      </w:r>
      <w:r>
        <w:rPr>
          <w:rFonts w:ascii="Times New Roman" w:hAnsi="Times New Roman" w:eastAsia="仿宋" w:cs="Times New Roman"/>
          <w:b/>
          <w:sz w:val="32"/>
          <w:szCs w:val="32"/>
        </w:rPr>
        <w:t>-20</w:t>
      </w:r>
      <w:r>
        <w:rPr>
          <w:rFonts w:hint="eastAsia" w:ascii="Times New Roman" w:hAnsi="Times New Roman" w:eastAsia="仿宋" w:cs="Times New Roman"/>
          <w:b/>
          <w:sz w:val="32"/>
          <w:szCs w:val="32"/>
          <w:lang w:val="en-US" w:eastAsia="zh-CN"/>
        </w:rPr>
        <w:t>25</w:t>
      </w:r>
      <w:r>
        <w:rPr>
          <w:rFonts w:ascii="Times New Roman" w:hAnsi="Times New Roman" w:eastAsia="仿宋" w:cs="Times New Roman"/>
          <w:b/>
          <w:sz w:val="32"/>
          <w:szCs w:val="32"/>
        </w:rPr>
        <w:t>年</w:t>
      </w:r>
      <w:r>
        <w:rPr>
          <w:rFonts w:hint="eastAsia" w:ascii="仿宋" w:hAnsi="仿宋" w:eastAsia="仿宋"/>
          <w:b/>
          <w:sz w:val="32"/>
          <w:szCs w:val="32"/>
        </w:rPr>
        <w:t>度第</w:t>
      </w:r>
      <w:r>
        <w:rPr>
          <w:rFonts w:hint="eastAsia" w:ascii="仿宋" w:hAnsi="仿宋" w:eastAsia="仿宋"/>
          <w:b/>
          <w:sz w:val="32"/>
          <w:szCs w:val="32"/>
          <w:lang w:val="en-US" w:eastAsia="zh-CN"/>
        </w:rPr>
        <w:t>二</w:t>
      </w:r>
      <w:r>
        <w:rPr>
          <w:rFonts w:hint="eastAsia" w:ascii="仿宋" w:hAnsi="仿宋" w:eastAsia="仿宋"/>
          <w:b/>
          <w:sz w:val="32"/>
          <w:szCs w:val="32"/>
        </w:rPr>
        <w:t>学期教学计划</w:t>
      </w:r>
    </w:p>
    <w:p w14:paraId="5F3ABCDB">
      <w:pPr>
        <w:rPr>
          <w:rFonts w:ascii="仿宋" w:hAnsi="仿宋" w:eastAsia="仿宋"/>
          <w:sz w:val="32"/>
          <w:szCs w:val="32"/>
        </w:rPr>
      </w:pPr>
      <w:r>
        <w:rPr>
          <w:rFonts w:hint="eastAsia" w:ascii="仿宋" w:hAnsi="仿宋" w:eastAsia="仿宋"/>
          <w:sz w:val="32"/>
          <w:szCs w:val="32"/>
        </w:rPr>
        <mc:AlternateContent>
          <mc:Choice Requires="wps">
            <w:drawing>
              <wp:anchor distT="0" distB="0" distL="0" distR="0" simplePos="0" relativeHeight="251659264" behindDoc="0" locked="0" layoutInCell="1" allowOverlap="1">
                <wp:simplePos x="0" y="0"/>
                <wp:positionH relativeFrom="margin">
                  <wp:posOffset>16510</wp:posOffset>
                </wp:positionH>
                <wp:positionV relativeFrom="paragraph">
                  <wp:posOffset>361315</wp:posOffset>
                </wp:positionV>
                <wp:extent cx="5090795" cy="2540"/>
                <wp:effectExtent l="0" t="0" r="0" b="0"/>
                <wp:wrapNone/>
                <wp:docPr id="1026" name="直接连接符 1"/>
                <wp:cNvGraphicFramePr/>
                <a:graphic xmlns:a="http://schemas.openxmlformats.org/drawingml/2006/main">
                  <a:graphicData uri="http://schemas.microsoft.com/office/word/2010/wordprocessingShape">
                    <wps:wsp>
                      <wps:cNvCnPr/>
                      <wps:spPr>
                        <a:xfrm flipV="1">
                          <a:off x="0" y="0"/>
                          <a:ext cx="5090795" cy="2540"/>
                        </a:xfrm>
                        <a:prstGeom prst="line">
                          <a:avLst/>
                        </a:prstGeom>
                        <a:ln w="6350" cap="flat" cmpd="sng">
                          <a:solidFill>
                            <a:srgbClr val="000000"/>
                          </a:solidFill>
                          <a:prstDash val="solid"/>
                          <a:miter/>
                        </a:ln>
                      </wps:spPr>
                      <wps:bodyPr/>
                    </wps:wsp>
                  </a:graphicData>
                </a:graphic>
              </wp:anchor>
            </w:drawing>
          </mc:Choice>
          <mc:Fallback>
            <w:pict>
              <v:line id="直接连接符 1" o:spid="_x0000_s1026" o:spt="20" style="position:absolute;left:0pt;flip:y;margin-left:1.3pt;margin-top:28.45pt;height:0.2pt;width:400.85pt;mso-position-horizontal-relative:margin;z-index:251659264;mso-width-relative:page;mso-height-relative:page;" filled="f" stroked="t" coordsize="21600,21600" o:gfxdata="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HPUfa1QAAAAcBAAAPAAAA&#10;AAAAAAEAIAAAACIAAABkcnMvZG93bnJldi54bWxQSwECFAAUAAAACACHTuJA3jvsz98BAACeAwAA&#10;DgAAAAAAAAABACAAAAAkAQAAZHJzL2Uyb0RvYy54bWxQSwUGAAAAAAYABgBZAQAAdQUAAAAA&#10;">
                <v:fill on="f" focussize="0,0"/>
                <v:stroke weight="0.5pt" color="#000000" joinstyle="miter"/>
                <v:imagedata o:title=""/>
                <o:lock v:ext="edit" aspectratio="f"/>
              </v:line>
            </w:pict>
          </mc:Fallback>
        </mc:AlternateContent>
      </w:r>
      <w:r>
        <w:rPr>
          <w:rFonts w:hint="eastAsia" w:ascii="仿宋" w:hAnsi="仿宋" w:eastAsia="仿宋"/>
          <w:sz w:val="32"/>
          <w:szCs w:val="32"/>
        </w:rPr>
        <w:t>班级：视障</w:t>
      </w:r>
      <w:r>
        <w:rPr>
          <w:rFonts w:hint="eastAsia" w:ascii="仿宋" w:hAnsi="仿宋" w:eastAsia="仿宋"/>
          <w:sz w:val="32"/>
          <w:szCs w:val="32"/>
          <w:lang w:val="en-US" w:eastAsia="zh-CN"/>
        </w:rPr>
        <w:t>中职</w:t>
      </w: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rPr>
        <w:t>科目：</w:t>
      </w:r>
      <w:r>
        <w:rPr>
          <w:rFonts w:hint="eastAsia" w:ascii="仿宋" w:hAnsi="仿宋" w:eastAsia="仿宋"/>
          <w:sz w:val="32"/>
          <w:szCs w:val="32"/>
          <w:lang w:val="en-US" w:eastAsia="zh-CN"/>
        </w:rPr>
        <w:t>按摩学基础</w:t>
      </w: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rPr>
        <w:t>教师：</w:t>
      </w:r>
      <w:r>
        <w:rPr>
          <w:rFonts w:hint="eastAsia" w:ascii="仿宋" w:hAnsi="仿宋" w:eastAsia="仿宋"/>
          <w:sz w:val="32"/>
          <w:szCs w:val="32"/>
          <w:lang w:val="en-US" w:eastAsia="zh-CN"/>
        </w:rPr>
        <w:t>毛新菲</w:t>
      </w:r>
      <w:r>
        <w:rPr>
          <w:rFonts w:hint="eastAsia" w:ascii="仿宋" w:hAnsi="仿宋" w:eastAsia="仿宋"/>
          <w:sz w:val="32"/>
          <w:szCs w:val="32"/>
        </w:rPr>
        <w:t xml:space="preserve">      </w:t>
      </w:r>
    </w:p>
    <w:p w14:paraId="4911F125">
      <w:pPr>
        <w:spacing w:line="52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一、学情分析</w:t>
      </w:r>
    </w:p>
    <w:p w14:paraId="0D4B88F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rPr>
        <w:t>视障部</w:t>
      </w:r>
      <w:r>
        <w:rPr>
          <w:rFonts w:hint="eastAsia" w:ascii="Times New Roman" w:hAnsi="Times New Roman" w:eastAsia="仿宋" w:cs="Times New Roman"/>
          <w:sz w:val="32"/>
          <w:szCs w:val="32"/>
          <w:lang w:val="en-US" w:eastAsia="zh-CN"/>
        </w:rPr>
        <w:t>职业班</w:t>
      </w:r>
      <w:r>
        <w:rPr>
          <w:rFonts w:ascii="Times New Roman" w:hAnsi="Times New Roman" w:eastAsia="仿宋" w:cs="Times New Roman"/>
          <w:sz w:val="32"/>
          <w:szCs w:val="32"/>
        </w:rPr>
        <w:t>共</w:t>
      </w:r>
      <w:r>
        <w:rPr>
          <w:rFonts w:hint="eastAsia" w:ascii="Times New Roman" w:hAnsi="Times New Roman" w:eastAsia="仿宋" w:cs="Times New Roman"/>
          <w:sz w:val="32"/>
          <w:szCs w:val="32"/>
          <w:lang w:val="en-US" w:eastAsia="zh-CN"/>
        </w:rPr>
        <w:t>7</w:t>
      </w:r>
      <w:r>
        <w:rPr>
          <w:rFonts w:ascii="Times New Roman" w:hAnsi="Times New Roman" w:eastAsia="仿宋" w:cs="Times New Roman"/>
          <w:sz w:val="32"/>
          <w:szCs w:val="32"/>
        </w:rPr>
        <w:t>名学生</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其中使用大字教材、低视力生有4人，使用盲文、全盲学生有3人，本班级的学生部分度过一年高中部分为初中升入，学生差异性较大，在理解能力和领悟能力方面比较明显，其中2名使用汉字的学生识字量较少很难独立阅读教材，学生们的空间感知能力较差，在实际教学过程中学生们都需要采用“手把手”实际触摸的方式才能准确把握和理解解剖结构的特点。</w:t>
      </w:r>
    </w:p>
    <w:p w14:paraId="6EEDC25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w:t>
      </w:r>
    </w:p>
    <w:p w14:paraId="440AA6C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二、教材分析</w:t>
      </w:r>
    </w:p>
    <w:p w14:paraId="296608D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学期采用的教材为全国盲人医疗按摩中等专业统编教材。是根据国家《盲人按摩工作“十二五”实施方案》中完善盲人医疗按摩专业教材规范化建设的要求，结合当前我国盲人医疗按摩教育和临床现状以及未来发展需要，由中国盲人按摩指导中心组织全国部分盲人按摩大中专学校、中医药大学和中医医疗机构的专家教授编写完成的盲人按摩中等专业统编教材。</w:t>
      </w:r>
    </w:p>
    <w:p w14:paraId="5110D2E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按摩学基础》涵盖了按摩的基本理论、手法分类与操作规范、经络腧穴基础、按摩作用原理、常见病症的按摩治疗等多个章节内容，是一门系统阐述按摩学知识与技能的专业课程，是盲人医疗按摩专业以及中医康复相关专业的核心课程，也是从事按摩治疗工作的重要理论与实践基础。通过本课程的学习，学生能够熟练掌握各类按摩手法技巧，深入理解经络腧穴与人体生理病理的关系，从而为运用按摩疗法治疗疾病和保健养生奠定坚实基础。</w:t>
      </w:r>
    </w:p>
    <w:p w14:paraId="27D04AB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教材是依据教育部关于职业教育相关指导方针，结合当前社会对专业按摩人才的需求，以及盲人医疗按摩教育的独特性，为推动盲人医疗按摩中等专业教育的发展，培养具备扎实专业技能和职业素养的按摩人才而精心编写。</w:t>
      </w:r>
    </w:p>
    <w:p w14:paraId="23F6095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本教材以全国盲人医疗按摩中等专业教育教学大纲为指导，在保证知识科学性和系统性的同时，充分考虑到盲人学生的学习特点、认知水平以及就业实际需求（主要从事按摩工作）。教材始终以学生为主体，秉持 “三基” 理念，强调科学性、系统性和先进性，突出 “实用、有用、够用” 原则，致力于让学生在有限的学习时间内掌握最核心、最实用的按摩学知识与技能 。</w:t>
      </w:r>
    </w:p>
    <w:p w14:paraId="588AB7A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三、学习目标</w:t>
      </w:r>
    </w:p>
    <w:p w14:paraId="43EA325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本学期的学习目标为完成前五章的课程内容，具体要求如下：</w:t>
      </w:r>
    </w:p>
    <w:p w14:paraId="266184DC">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知识目标</w:t>
      </w:r>
    </w:p>
    <w:p w14:paraId="0FE985A6">
      <w:pPr>
        <w:keepNext w:val="0"/>
        <w:keepLines w:val="0"/>
        <w:pageBreakBefore w:val="0"/>
        <w:widowControl w:val="0"/>
        <w:numPr>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（1）理解并掌握第四节摆动类手法、第五节振动类手法、第六节叩击类手法、第七节运动关节类手法以及第八节复合类手法的基本概念和操作技巧。</w:t>
      </w:r>
    </w:p>
    <w:p w14:paraId="174EA57D">
      <w:pPr>
        <w:keepNext w:val="0"/>
        <w:keepLines w:val="0"/>
        <w:pageBreakBefore w:val="0"/>
        <w:widowControl w:val="0"/>
        <w:numPr>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（2）了解第四章各部分手法操作练习的具体内容，包括第一节头面部、第二节颈项部、第三节胸腹部、第四节上肢部、第五节背腰部以及第六节下肢部的按摩推拿手法及其适用范围。</w:t>
      </w:r>
    </w:p>
    <w:p w14:paraId="2659D1F4">
      <w:pPr>
        <w:keepNext w:val="0"/>
        <w:keepLines w:val="0"/>
        <w:pageBreakBefore w:val="0"/>
        <w:widowControl w:val="0"/>
        <w:numPr>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2.技能目标</w:t>
      </w:r>
    </w:p>
    <w:p w14:paraId="722B48E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（1）能够准确地在模拟或实际人体上运用第四节至第八节所学的各类推拿手法，包括摆动、振动、叩击、运动关节和复合类手法，达到熟练程度。</w:t>
      </w:r>
    </w:p>
    <w:p w14:paraId="294C8C8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（2）能够根据不同的身体部位（头面部、颈项部、胸腹部、上肢部、背腰部、下肢部），选择合适的推拿手法进行操作练习，提高手法操作的准确性和有效性。</w:t>
      </w:r>
    </w:p>
    <w:p w14:paraId="35F5C00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3.素质目标</w:t>
      </w:r>
    </w:p>
    <w:p w14:paraId="1161DC4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w:t>
      </w:r>
      <w:r>
        <w:rPr>
          <w:rFonts w:hint="default" w:ascii="仿宋" w:hAnsi="仿宋" w:eastAsia="仿宋" w:cs="仿宋"/>
          <w:sz w:val="32"/>
          <w:szCs w:val="32"/>
          <w:lang w:val="en-US" w:eastAsia="zh-CN"/>
        </w:rPr>
        <w:t>培养学生对推拿按摩手法的兴趣和热爱，增强学习的积极性和主动性。</w:t>
      </w:r>
    </w:p>
    <w:p w14:paraId="003B85D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w:t>
      </w:r>
      <w:r>
        <w:rPr>
          <w:rFonts w:hint="default" w:ascii="仿宋" w:hAnsi="仿宋" w:eastAsia="仿宋" w:cs="仿宋"/>
          <w:sz w:val="32"/>
          <w:szCs w:val="32"/>
          <w:lang w:val="en-US" w:eastAsia="zh-CN"/>
        </w:rPr>
        <w:t>强调手法操作的安全性和规范性，培养学生的责任心和职业道德。</w:t>
      </w:r>
    </w:p>
    <w:p w14:paraId="66200AA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w:t>
      </w:r>
      <w:r>
        <w:rPr>
          <w:rFonts w:hint="default" w:ascii="仿宋" w:hAnsi="仿宋" w:eastAsia="仿宋" w:cs="仿宋"/>
          <w:sz w:val="32"/>
          <w:szCs w:val="32"/>
          <w:lang w:val="en-US" w:eastAsia="zh-CN"/>
        </w:rPr>
        <w:t>通过实践操作练习，加深学生对人体结构和功能的理解，培养对人体健康的关注和尊重。</w:t>
      </w:r>
    </w:p>
    <w:p w14:paraId="04D6109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四、教学措施</w:t>
      </w:r>
    </w:p>
    <w:p w14:paraId="445242A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w:t>
      </w:r>
      <w:r>
        <w:rPr>
          <w:rFonts w:hint="default" w:ascii="仿宋" w:hAnsi="仿宋" w:eastAsia="仿宋" w:cs="仿宋"/>
          <w:sz w:val="32"/>
          <w:szCs w:val="32"/>
          <w:lang w:val="en-US" w:eastAsia="zh-CN"/>
        </w:rPr>
        <w:t>引入课程：通过展示按摩对身体健康的益处，激发学生对按摩学的兴趣。</w:t>
      </w:r>
    </w:p>
    <w:p w14:paraId="7E144E5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w:t>
      </w:r>
      <w:r>
        <w:rPr>
          <w:rFonts w:hint="default" w:ascii="仿宋" w:hAnsi="仿宋" w:eastAsia="仿宋" w:cs="仿宋"/>
          <w:sz w:val="32"/>
          <w:szCs w:val="32"/>
          <w:lang w:val="en-US" w:eastAsia="zh-CN"/>
        </w:rPr>
        <w:t>理论教学：详细讲解按摩学的基本原理、按摩手法、穴位知识以及按摩对身体各系统的影响。</w:t>
      </w:r>
    </w:p>
    <w:p w14:paraId="507F7F3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w:t>
      </w:r>
      <w:r>
        <w:rPr>
          <w:rFonts w:hint="default" w:ascii="仿宋" w:hAnsi="仿宋" w:eastAsia="仿宋" w:cs="仿宋"/>
          <w:sz w:val="32"/>
          <w:szCs w:val="32"/>
          <w:lang w:val="en-US" w:eastAsia="zh-CN"/>
        </w:rPr>
        <w:t>实践操作：安排学生进行分组练习，互相进行基础按摩手法的练习，如推拿、揉捏、敲击等。</w:t>
      </w:r>
    </w:p>
    <w:p w14:paraId="0AE1BF9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4.</w:t>
      </w:r>
      <w:r>
        <w:rPr>
          <w:rFonts w:hint="default" w:ascii="仿宋" w:hAnsi="仿宋" w:eastAsia="仿宋" w:cs="仿宋"/>
          <w:sz w:val="32"/>
          <w:szCs w:val="32"/>
          <w:lang w:val="en-US" w:eastAsia="zh-CN"/>
        </w:rPr>
        <w:t>视频教学：播放专业按摩师的示范视频，让学生更直观地了解正确的按摩技巧和注意事项。</w:t>
      </w:r>
    </w:p>
    <w:p w14:paraId="4EC088E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w:t>
      </w:r>
      <w:r>
        <w:rPr>
          <w:rFonts w:hint="default" w:ascii="仿宋" w:hAnsi="仿宋" w:eastAsia="仿宋" w:cs="仿宋"/>
          <w:sz w:val="32"/>
          <w:szCs w:val="32"/>
          <w:lang w:val="en-US" w:eastAsia="zh-CN"/>
        </w:rPr>
        <w:t>案例分析：通过分析真实案例，让学生了解按摩在不同病症中的应用及效果。</w:t>
      </w:r>
    </w:p>
    <w:p w14:paraId="2425954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6.</w:t>
      </w:r>
      <w:r>
        <w:rPr>
          <w:rFonts w:hint="default" w:ascii="仿宋" w:hAnsi="仿宋" w:eastAsia="仿宋" w:cs="仿宋"/>
          <w:sz w:val="32"/>
          <w:szCs w:val="32"/>
          <w:lang w:val="en-US" w:eastAsia="zh-CN"/>
        </w:rPr>
        <w:t>互动讨论：组织学生讨论按摩过程中遇到的问题和解决方法，提高学生的实际操作能力。</w:t>
      </w:r>
    </w:p>
    <w:p w14:paraId="1E0066F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7.</w:t>
      </w:r>
      <w:r>
        <w:rPr>
          <w:rFonts w:hint="default" w:ascii="仿宋" w:hAnsi="仿宋" w:eastAsia="仿宋" w:cs="仿宋"/>
          <w:sz w:val="32"/>
          <w:szCs w:val="32"/>
          <w:lang w:val="en-US" w:eastAsia="zh-CN"/>
        </w:rPr>
        <w:t>作业与考核：布置相关作业，如按摩操作视频、案例分析报告等，以检验学生对课程内容的掌握程度。</w:t>
      </w:r>
    </w:p>
    <w:p w14:paraId="6421669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8.</w:t>
      </w:r>
      <w:r>
        <w:rPr>
          <w:rFonts w:hint="default" w:ascii="仿宋" w:hAnsi="仿宋" w:eastAsia="仿宋" w:cs="仿宋"/>
          <w:sz w:val="32"/>
          <w:szCs w:val="32"/>
          <w:lang w:val="en-US" w:eastAsia="zh-CN"/>
        </w:rPr>
        <w:t>反馈与改进：在课程结束后，收集学生对课程的反馈意见，以便对教学方法进行改进。</w:t>
      </w:r>
    </w:p>
    <w:p w14:paraId="5CC2756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五、教学进度安排</w:t>
      </w:r>
    </w:p>
    <w:p w14:paraId="12C5D69E">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1856AD40">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333E1E24">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5A475885">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14098666">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16CA70A4">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教学进度表</w:t>
      </w:r>
    </w:p>
    <w:tbl>
      <w:tblPr>
        <w:tblStyle w:val="6"/>
        <w:tblW w:w="9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3"/>
        <w:gridCol w:w="1662"/>
        <w:gridCol w:w="5115"/>
        <w:gridCol w:w="1140"/>
      </w:tblGrid>
      <w:tr w14:paraId="4FC9D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6727904E">
            <w:pPr>
              <w:jc w:val="center"/>
              <w:rPr>
                <w:rFonts w:hint="default" w:ascii="Times New Roman" w:hAnsi="Times New Roman" w:eastAsia="仿宋" w:cs="Times New Roman"/>
                <w:b/>
                <w:kern w:val="2"/>
                <w:sz w:val="28"/>
                <w:szCs w:val="28"/>
                <w:lang w:val="en-US" w:eastAsia="zh-CN" w:bidi="ar-SA"/>
              </w:rPr>
            </w:pPr>
            <w:r>
              <w:rPr>
                <w:rFonts w:hint="default" w:ascii="Times New Roman" w:hAnsi="Times New Roman" w:eastAsia="仿宋" w:cs="Times New Roman"/>
                <w:b/>
                <w:sz w:val="28"/>
                <w:szCs w:val="28"/>
              </w:rPr>
              <w:t>周次</w:t>
            </w:r>
          </w:p>
        </w:tc>
        <w:tc>
          <w:tcPr>
            <w:tcW w:w="1662" w:type="dxa"/>
            <w:vAlign w:val="center"/>
          </w:tcPr>
          <w:p w14:paraId="1A9787AB">
            <w:pPr>
              <w:widowControl/>
              <w:jc w:val="center"/>
              <w:rPr>
                <w:rFonts w:hint="default" w:ascii="Times New Roman" w:hAnsi="Times New Roman" w:eastAsia="宋体" w:cs="Times New Roman"/>
                <w:b/>
                <w:kern w:val="0"/>
                <w:sz w:val="22"/>
                <w:szCs w:val="22"/>
                <w:lang w:val="en-US" w:eastAsia="zh-CN" w:bidi="ar-SA"/>
              </w:rPr>
            </w:pPr>
          </w:p>
        </w:tc>
        <w:tc>
          <w:tcPr>
            <w:tcW w:w="5115" w:type="dxa"/>
            <w:vAlign w:val="center"/>
          </w:tcPr>
          <w:p w14:paraId="3B992767">
            <w:pPr>
              <w:jc w:val="center"/>
              <w:rPr>
                <w:rFonts w:hint="default" w:ascii="Times New Roman" w:hAnsi="Times New Roman" w:eastAsia="仿宋" w:cs="Times New Roman"/>
                <w:b/>
                <w:kern w:val="2"/>
                <w:sz w:val="28"/>
                <w:szCs w:val="28"/>
                <w:lang w:val="en-US" w:eastAsia="zh-CN" w:bidi="ar-SA"/>
              </w:rPr>
            </w:pPr>
            <w:r>
              <w:rPr>
                <w:rFonts w:hint="default" w:ascii="Times New Roman" w:hAnsi="Times New Roman" w:eastAsia="仿宋" w:cs="Times New Roman"/>
                <w:b/>
                <w:sz w:val="28"/>
                <w:szCs w:val="28"/>
              </w:rPr>
              <w:t>教材章节内容</w:t>
            </w:r>
          </w:p>
        </w:tc>
        <w:tc>
          <w:tcPr>
            <w:tcW w:w="1140" w:type="dxa"/>
            <w:vAlign w:val="center"/>
          </w:tcPr>
          <w:p w14:paraId="54D38E9E">
            <w:pPr>
              <w:jc w:val="center"/>
              <w:rPr>
                <w:rFonts w:hint="default" w:ascii="Times New Roman" w:hAnsi="Times New Roman" w:eastAsia="仿宋" w:cs="Times New Roman"/>
                <w:b/>
                <w:kern w:val="2"/>
                <w:sz w:val="28"/>
                <w:szCs w:val="28"/>
                <w:lang w:val="en-US" w:eastAsia="zh-CN" w:bidi="ar-SA"/>
              </w:rPr>
            </w:pPr>
            <w:r>
              <w:rPr>
                <w:rFonts w:hint="default" w:ascii="Times New Roman" w:hAnsi="Times New Roman" w:eastAsia="仿宋" w:cs="Times New Roman"/>
                <w:b/>
                <w:sz w:val="28"/>
                <w:szCs w:val="28"/>
              </w:rPr>
              <w:t>课时</w:t>
            </w:r>
          </w:p>
        </w:tc>
      </w:tr>
      <w:tr w14:paraId="3FD19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0359226F">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第一周</w:t>
            </w:r>
          </w:p>
        </w:tc>
        <w:tc>
          <w:tcPr>
            <w:tcW w:w="1662" w:type="dxa"/>
            <w:vAlign w:val="center"/>
          </w:tcPr>
          <w:p w14:paraId="5D90FB2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vAlign w:val="center"/>
          </w:tcPr>
          <w:p w14:paraId="415EA10F">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default" w:ascii="Times New Roman" w:hAnsi="Times New Roman" w:eastAsia="仿宋" w:cs="Times New Roman"/>
                <w:b w:val="0"/>
                <w:bCs w:val="0"/>
                <w:sz w:val="28"/>
                <w:szCs w:val="28"/>
                <w:vertAlign w:val="baseline"/>
                <w:lang w:val="en-US" w:eastAsia="zh-CN"/>
              </w:rPr>
              <w:t>第四节 摆动类手法</w:t>
            </w:r>
          </w:p>
        </w:tc>
        <w:tc>
          <w:tcPr>
            <w:tcW w:w="1140" w:type="dxa"/>
            <w:vAlign w:val="center"/>
          </w:tcPr>
          <w:p w14:paraId="0B9CAB8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764BC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4D441BCA">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第二周</w:t>
            </w:r>
          </w:p>
        </w:tc>
        <w:tc>
          <w:tcPr>
            <w:tcW w:w="1662" w:type="dxa"/>
            <w:vAlign w:val="center"/>
          </w:tcPr>
          <w:p w14:paraId="38858A7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vAlign w:val="center"/>
          </w:tcPr>
          <w:p w14:paraId="57525FF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default" w:ascii="Times New Roman" w:hAnsi="Times New Roman" w:eastAsia="仿宋" w:cs="Times New Roman"/>
                <w:b w:val="0"/>
                <w:bCs w:val="0"/>
                <w:sz w:val="28"/>
                <w:szCs w:val="28"/>
                <w:vertAlign w:val="baseline"/>
                <w:lang w:val="en-US" w:eastAsia="zh-CN"/>
              </w:rPr>
              <w:t>第五节 振动类手法</w:t>
            </w:r>
          </w:p>
        </w:tc>
        <w:tc>
          <w:tcPr>
            <w:tcW w:w="1140" w:type="dxa"/>
            <w:vAlign w:val="center"/>
          </w:tcPr>
          <w:p w14:paraId="549CCA9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758B8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2CF86F78">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第三周</w:t>
            </w:r>
          </w:p>
        </w:tc>
        <w:tc>
          <w:tcPr>
            <w:tcW w:w="1662" w:type="dxa"/>
            <w:vAlign w:val="center"/>
          </w:tcPr>
          <w:p w14:paraId="17AC039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vAlign w:val="center"/>
          </w:tcPr>
          <w:p w14:paraId="71E4591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default" w:ascii="Times New Roman" w:hAnsi="Times New Roman" w:eastAsia="仿宋" w:cs="Times New Roman"/>
                <w:b w:val="0"/>
                <w:bCs w:val="0"/>
                <w:sz w:val="28"/>
                <w:szCs w:val="28"/>
                <w:vertAlign w:val="baseline"/>
                <w:lang w:val="en-US" w:eastAsia="zh-CN"/>
              </w:rPr>
              <w:t xml:space="preserve">第六节 </w:t>
            </w:r>
            <w:r>
              <w:rPr>
                <w:rFonts w:hint="eastAsia" w:ascii="Times New Roman" w:hAnsi="Times New Roman" w:eastAsia="仿宋" w:cs="Times New Roman"/>
                <w:b w:val="0"/>
                <w:bCs w:val="0"/>
                <w:sz w:val="28"/>
                <w:szCs w:val="28"/>
                <w:vertAlign w:val="baseline"/>
                <w:lang w:val="en-US" w:eastAsia="zh-CN"/>
              </w:rPr>
              <w:t>叩</w:t>
            </w:r>
            <w:r>
              <w:rPr>
                <w:rFonts w:hint="default" w:ascii="Times New Roman" w:hAnsi="Times New Roman" w:eastAsia="仿宋" w:cs="Times New Roman"/>
                <w:b w:val="0"/>
                <w:bCs w:val="0"/>
                <w:sz w:val="28"/>
                <w:szCs w:val="28"/>
                <w:vertAlign w:val="baseline"/>
                <w:lang w:val="en-US" w:eastAsia="zh-CN"/>
              </w:rPr>
              <w:t>击类手法</w:t>
            </w:r>
          </w:p>
        </w:tc>
        <w:tc>
          <w:tcPr>
            <w:tcW w:w="1140" w:type="dxa"/>
            <w:vAlign w:val="center"/>
          </w:tcPr>
          <w:p w14:paraId="3204CCD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5E550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23CF1600">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第四周</w:t>
            </w:r>
          </w:p>
        </w:tc>
        <w:tc>
          <w:tcPr>
            <w:tcW w:w="1662" w:type="dxa"/>
            <w:vAlign w:val="center"/>
          </w:tcPr>
          <w:p w14:paraId="7EADAE8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vAlign w:val="center"/>
          </w:tcPr>
          <w:p w14:paraId="7C88528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default" w:ascii="Times New Roman" w:hAnsi="Times New Roman" w:eastAsia="仿宋" w:cs="Times New Roman"/>
                <w:b w:val="0"/>
                <w:bCs w:val="0"/>
                <w:sz w:val="28"/>
                <w:szCs w:val="28"/>
                <w:vertAlign w:val="baseline"/>
                <w:lang w:val="en-US" w:eastAsia="zh-CN"/>
              </w:rPr>
              <w:t>第七节 运动关节类手法</w:t>
            </w:r>
          </w:p>
        </w:tc>
        <w:tc>
          <w:tcPr>
            <w:tcW w:w="1140" w:type="dxa"/>
            <w:vAlign w:val="center"/>
          </w:tcPr>
          <w:p w14:paraId="1055573A">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0B15D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53F46817">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第五周</w:t>
            </w:r>
          </w:p>
        </w:tc>
        <w:tc>
          <w:tcPr>
            <w:tcW w:w="1662" w:type="dxa"/>
            <w:vAlign w:val="center"/>
          </w:tcPr>
          <w:p w14:paraId="1525F04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vAlign w:val="center"/>
          </w:tcPr>
          <w:p w14:paraId="35F54B7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default" w:ascii="Times New Roman" w:hAnsi="Times New Roman" w:eastAsia="仿宋" w:cs="Times New Roman"/>
                <w:b w:val="0"/>
                <w:bCs w:val="0"/>
                <w:sz w:val="28"/>
                <w:szCs w:val="28"/>
                <w:vertAlign w:val="baseline"/>
                <w:lang w:val="en-US" w:eastAsia="zh-CN"/>
              </w:rPr>
              <w:t>第七节 运动关节类手法</w:t>
            </w:r>
          </w:p>
        </w:tc>
        <w:tc>
          <w:tcPr>
            <w:tcW w:w="1140" w:type="dxa"/>
            <w:vAlign w:val="center"/>
          </w:tcPr>
          <w:p w14:paraId="58EF049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40373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23660DB1">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第六周</w:t>
            </w:r>
          </w:p>
        </w:tc>
        <w:tc>
          <w:tcPr>
            <w:tcW w:w="1662" w:type="dxa"/>
            <w:vAlign w:val="center"/>
          </w:tcPr>
          <w:p w14:paraId="59CC89A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vAlign w:val="center"/>
          </w:tcPr>
          <w:p w14:paraId="31F7A91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default" w:ascii="Times New Roman" w:hAnsi="Times New Roman" w:eastAsia="仿宋" w:cs="Times New Roman"/>
                <w:b w:val="0"/>
                <w:bCs w:val="0"/>
                <w:sz w:val="28"/>
                <w:szCs w:val="28"/>
                <w:vertAlign w:val="baseline"/>
                <w:lang w:val="en-US" w:eastAsia="zh-CN"/>
              </w:rPr>
              <w:t>第八节 复合类手法</w:t>
            </w:r>
          </w:p>
        </w:tc>
        <w:tc>
          <w:tcPr>
            <w:tcW w:w="1140" w:type="dxa"/>
            <w:vAlign w:val="center"/>
          </w:tcPr>
          <w:p w14:paraId="19F14A9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23DFF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1C2C7002">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第七周</w:t>
            </w:r>
          </w:p>
        </w:tc>
        <w:tc>
          <w:tcPr>
            <w:tcW w:w="1662" w:type="dxa"/>
            <w:vAlign w:val="center"/>
          </w:tcPr>
          <w:p w14:paraId="660F534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vAlign w:val="center"/>
          </w:tcPr>
          <w:p w14:paraId="209BAF2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kern w:val="2"/>
                <w:sz w:val="28"/>
                <w:szCs w:val="28"/>
                <w:vertAlign w:val="baseline"/>
                <w:lang w:val="en-US" w:eastAsia="zh-CN" w:bidi="ar-SA"/>
              </w:rPr>
            </w:pPr>
            <w:r>
              <w:rPr>
                <w:rFonts w:hint="default" w:ascii="Times New Roman" w:hAnsi="Times New Roman" w:eastAsia="仿宋" w:cs="Times New Roman"/>
                <w:b w:val="0"/>
                <w:bCs w:val="0"/>
                <w:sz w:val="28"/>
                <w:szCs w:val="28"/>
                <w:vertAlign w:val="baseline"/>
                <w:lang w:val="en-US" w:eastAsia="zh-CN"/>
              </w:rPr>
              <w:t>第八节 复合类手法</w:t>
            </w:r>
          </w:p>
        </w:tc>
        <w:tc>
          <w:tcPr>
            <w:tcW w:w="1140" w:type="dxa"/>
            <w:vAlign w:val="center"/>
          </w:tcPr>
          <w:p w14:paraId="1F18F83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0DDF0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754CADD5">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第八周</w:t>
            </w:r>
          </w:p>
        </w:tc>
        <w:tc>
          <w:tcPr>
            <w:tcW w:w="1662" w:type="dxa"/>
            <w:vAlign w:val="center"/>
          </w:tcPr>
          <w:p w14:paraId="7F5BD16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vAlign w:val="center"/>
          </w:tcPr>
          <w:p w14:paraId="2D2942D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default" w:ascii="Times New Roman" w:hAnsi="Times New Roman" w:eastAsia="仿宋" w:cs="Times New Roman"/>
                <w:b w:val="0"/>
                <w:bCs w:val="0"/>
                <w:sz w:val="28"/>
                <w:szCs w:val="28"/>
                <w:vertAlign w:val="baseline"/>
                <w:lang w:val="en-US" w:eastAsia="zh-CN"/>
              </w:rPr>
              <w:t>第四章各部位手法操作练习</w:t>
            </w:r>
          </w:p>
          <w:p w14:paraId="1FA8F3A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kern w:val="2"/>
                <w:sz w:val="28"/>
                <w:szCs w:val="28"/>
                <w:vertAlign w:val="baseline"/>
                <w:lang w:val="en-US" w:eastAsia="zh-CN" w:bidi="ar-SA"/>
              </w:rPr>
            </w:pPr>
            <w:r>
              <w:rPr>
                <w:rFonts w:hint="default" w:ascii="Times New Roman" w:hAnsi="Times New Roman" w:eastAsia="仿宋" w:cs="Times New Roman"/>
                <w:b w:val="0"/>
                <w:bCs w:val="0"/>
                <w:sz w:val="28"/>
                <w:szCs w:val="28"/>
                <w:vertAlign w:val="baseline"/>
                <w:lang w:val="en-US" w:eastAsia="zh-CN"/>
              </w:rPr>
              <w:t>第一节头面部</w:t>
            </w:r>
          </w:p>
        </w:tc>
        <w:tc>
          <w:tcPr>
            <w:tcW w:w="1140" w:type="dxa"/>
            <w:vAlign w:val="center"/>
          </w:tcPr>
          <w:p w14:paraId="2605304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0A902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5DA19F97">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第九周</w:t>
            </w:r>
          </w:p>
        </w:tc>
        <w:tc>
          <w:tcPr>
            <w:tcW w:w="1662" w:type="dxa"/>
            <w:vAlign w:val="center"/>
          </w:tcPr>
          <w:p w14:paraId="4571B6A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shd w:val="clear" w:color="auto" w:fill="auto"/>
            <w:vAlign w:val="center"/>
          </w:tcPr>
          <w:p w14:paraId="3623DB6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kern w:val="2"/>
                <w:sz w:val="28"/>
                <w:szCs w:val="28"/>
                <w:vertAlign w:val="baseline"/>
                <w:lang w:val="en-US" w:eastAsia="zh-CN" w:bidi="ar-SA"/>
              </w:rPr>
            </w:pPr>
            <w:r>
              <w:rPr>
                <w:rFonts w:hint="default" w:ascii="Times New Roman" w:hAnsi="Times New Roman" w:eastAsia="仿宋" w:cs="Times New Roman"/>
                <w:b w:val="0"/>
                <w:bCs w:val="0"/>
                <w:sz w:val="28"/>
                <w:szCs w:val="28"/>
                <w:vertAlign w:val="baseline"/>
                <w:lang w:val="en-US" w:eastAsia="zh-CN"/>
              </w:rPr>
              <w:t>第一节头面部</w:t>
            </w:r>
          </w:p>
        </w:tc>
        <w:tc>
          <w:tcPr>
            <w:tcW w:w="1140" w:type="dxa"/>
            <w:vAlign w:val="center"/>
          </w:tcPr>
          <w:p w14:paraId="7BDE050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4</w:t>
            </w:r>
          </w:p>
        </w:tc>
      </w:tr>
      <w:tr w14:paraId="23B11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4263008F">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第十周</w:t>
            </w:r>
          </w:p>
        </w:tc>
        <w:tc>
          <w:tcPr>
            <w:tcW w:w="1662" w:type="dxa"/>
            <w:vAlign w:val="center"/>
          </w:tcPr>
          <w:p w14:paraId="0711C92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shd w:val="clear" w:color="auto" w:fill="auto"/>
            <w:vAlign w:val="center"/>
          </w:tcPr>
          <w:p w14:paraId="7AA69DE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kern w:val="2"/>
                <w:sz w:val="28"/>
                <w:szCs w:val="28"/>
                <w:vertAlign w:val="baseline"/>
                <w:lang w:val="en-US" w:eastAsia="zh-CN" w:bidi="ar-SA"/>
              </w:rPr>
            </w:pPr>
            <w:r>
              <w:rPr>
                <w:rFonts w:hint="default" w:ascii="Times New Roman" w:hAnsi="Times New Roman" w:eastAsia="仿宋" w:cs="Times New Roman"/>
                <w:b w:val="0"/>
                <w:bCs w:val="0"/>
                <w:sz w:val="28"/>
                <w:szCs w:val="28"/>
                <w:vertAlign w:val="baseline"/>
                <w:lang w:val="en-US" w:eastAsia="zh-CN"/>
              </w:rPr>
              <w:t>第二节颈项部</w:t>
            </w:r>
          </w:p>
        </w:tc>
        <w:tc>
          <w:tcPr>
            <w:tcW w:w="1140" w:type="dxa"/>
            <w:vAlign w:val="center"/>
          </w:tcPr>
          <w:p w14:paraId="69BD0DA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61687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16A0DDB4">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第十一周</w:t>
            </w:r>
          </w:p>
        </w:tc>
        <w:tc>
          <w:tcPr>
            <w:tcW w:w="1662" w:type="dxa"/>
            <w:vAlign w:val="center"/>
          </w:tcPr>
          <w:p w14:paraId="107E2B3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vAlign w:val="center"/>
          </w:tcPr>
          <w:p w14:paraId="56FCF2A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default" w:ascii="Times New Roman" w:hAnsi="Times New Roman" w:eastAsia="仿宋" w:cs="Times New Roman"/>
                <w:b w:val="0"/>
                <w:bCs w:val="0"/>
                <w:sz w:val="28"/>
                <w:szCs w:val="28"/>
                <w:vertAlign w:val="baseline"/>
                <w:lang w:val="en-US" w:eastAsia="zh-CN"/>
              </w:rPr>
              <w:t>第三节胸腹部</w:t>
            </w:r>
          </w:p>
        </w:tc>
        <w:tc>
          <w:tcPr>
            <w:tcW w:w="1140" w:type="dxa"/>
            <w:vAlign w:val="center"/>
          </w:tcPr>
          <w:p w14:paraId="263C1C5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67110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4687C4FF">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第十二周</w:t>
            </w:r>
          </w:p>
        </w:tc>
        <w:tc>
          <w:tcPr>
            <w:tcW w:w="1662" w:type="dxa"/>
            <w:vAlign w:val="center"/>
          </w:tcPr>
          <w:p w14:paraId="719C4BC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shd w:val="clear" w:color="auto" w:fill="auto"/>
            <w:vAlign w:val="center"/>
          </w:tcPr>
          <w:p w14:paraId="5A82091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kern w:val="2"/>
                <w:sz w:val="28"/>
                <w:szCs w:val="28"/>
                <w:vertAlign w:val="baseline"/>
                <w:lang w:val="en-US" w:eastAsia="zh-CN" w:bidi="ar-SA"/>
              </w:rPr>
            </w:pPr>
            <w:r>
              <w:rPr>
                <w:rFonts w:hint="default" w:ascii="Times New Roman" w:hAnsi="Times New Roman" w:eastAsia="仿宋" w:cs="Times New Roman"/>
                <w:b w:val="0"/>
                <w:bCs w:val="0"/>
                <w:kern w:val="2"/>
                <w:sz w:val="28"/>
                <w:szCs w:val="28"/>
                <w:vertAlign w:val="baseline"/>
                <w:lang w:val="en-US" w:eastAsia="zh-CN" w:bidi="ar-SA"/>
              </w:rPr>
              <w:t>第四节上肢部</w:t>
            </w:r>
          </w:p>
          <w:p w14:paraId="26A0267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kern w:val="2"/>
                <w:sz w:val="28"/>
                <w:szCs w:val="28"/>
                <w:vertAlign w:val="baseline"/>
                <w:lang w:val="en-US" w:eastAsia="zh-CN" w:bidi="ar-SA"/>
              </w:rPr>
            </w:pPr>
            <w:r>
              <w:rPr>
                <w:rFonts w:hint="default" w:ascii="Times New Roman" w:hAnsi="Times New Roman" w:eastAsia="仿宋" w:cs="Times New Roman"/>
                <w:b w:val="0"/>
                <w:bCs w:val="0"/>
                <w:kern w:val="2"/>
                <w:sz w:val="28"/>
                <w:szCs w:val="28"/>
                <w:vertAlign w:val="baseline"/>
                <w:lang w:val="en-US" w:eastAsia="zh-CN" w:bidi="ar-SA"/>
              </w:rPr>
              <w:t>上肢部上肢部</w:t>
            </w:r>
          </w:p>
        </w:tc>
        <w:tc>
          <w:tcPr>
            <w:tcW w:w="1140" w:type="dxa"/>
            <w:vAlign w:val="center"/>
          </w:tcPr>
          <w:p w14:paraId="31C2FB8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1CBBA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580930EA">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第十三周</w:t>
            </w:r>
          </w:p>
        </w:tc>
        <w:tc>
          <w:tcPr>
            <w:tcW w:w="1662" w:type="dxa"/>
            <w:vAlign w:val="center"/>
          </w:tcPr>
          <w:p w14:paraId="644F8B6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shd w:val="clear" w:color="auto" w:fill="auto"/>
            <w:vAlign w:val="center"/>
          </w:tcPr>
          <w:p w14:paraId="688CBDB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kern w:val="2"/>
                <w:sz w:val="28"/>
                <w:szCs w:val="28"/>
                <w:vertAlign w:val="baseline"/>
                <w:lang w:val="en-US" w:eastAsia="zh-CN" w:bidi="ar-SA"/>
              </w:rPr>
            </w:pPr>
            <w:r>
              <w:rPr>
                <w:rFonts w:hint="default" w:ascii="Times New Roman" w:hAnsi="Times New Roman" w:eastAsia="仿宋" w:cs="Times New Roman"/>
                <w:b w:val="0"/>
                <w:bCs w:val="0"/>
                <w:kern w:val="2"/>
                <w:sz w:val="28"/>
                <w:szCs w:val="28"/>
                <w:vertAlign w:val="baseline"/>
                <w:lang w:val="en-US" w:eastAsia="zh-CN" w:bidi="ar-SA"/>
              </w:rPr>
              <w:t>第五节腰背部</w:t>
            </w:r>
          </w:p>
        </w:tc>
        <w:tc>
          <w:tcPr>
            <w:tcW w:w="1140" w:type="dxa"/>
            <w:vAlign w:val="center"/>
          </w:tcPr>
          <w:p w14:paraId="25B664BF">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6A050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68B7EB88">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第十四周</w:t>
            </w:r>
          </w:p>
        </w:tc>
        <w:tc>
          <w:tcPr>
            <w:tcW w:w="1662" w:type="dxa"/>
            <w:vAlign w:val="center"/>
          </w:tcPr>
          <w:p w14:paraId="00E278F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shd w:val="clear" w:color="auto" w:fill="auto"/>
            <w:vAlign w:val="center"/>
          </w:tcPr>
          <w:p w14:paraId="4D591F1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kern w:val="2"/>
                <w:sz w:val="28"/>
                <w:szCs w:val="28"/>
                <w:vertAlign w:val="baseline"/>
                <w:lang w:val="en-US" w:eastAsia="zh-CN" w:bidi="ar-SA"/>
              </w:rPr>
            </w:pPr>
            <w:r>
              <w:rPr>
                <w:rFonts w:hint="default" w:ascii="Times New Roman" w:hAnsi="Times New Roman" w:eastAsia="仿宋" w:cs="Times New Roman"/>
                <w:b w:val="0"/>
                <w:bCs w:val="0"/>
                <w:kern w:val="2"/>
                <w:sz w:val="28"/>
                <w:szCs w:val="28"/>
                <w:vertAlign w:val="baseline"/>
                <w:lang w:val="en-US" w:eastAsia="zh-CN" w:bidi="ar-SA"/>
              </w:rPr>
              <w:t>第六节下肢部</w:t>
            </w:r>
          </w:p>
        </w:tc>
        <w:tc>
          <w:tcPr>
            <w:tcW w:w="1140" w:type="dxa"/>
            <w:vAlign w:val="center"/>
          </w:tcPr>
          <w:p w14:paraId="710B090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04BD3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074E0168">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第十五周</w:t>
            </w:r>
          </w:p>
        </w:tc>
        <w:tc>
          <w:tcPr>
            <w:tcW w:w="1662" w:type="dxa"/>
            <w:vAlign w:val="center"/>
          </w:tcPr>
          <w:p w14:paraId="0937A08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shd w:val="clear" w:color="auto" w:fill="auto"/>
            <w:vAlign w:val="center"/>
          </w:tcPr>
          <w:p w14:paraId="56A0D86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kern w:val="2"/>
                <w:sz w:val="28"/>
                <w:szCs w:val="28"/>
                <w:vertAlign w:val="baseline"/>
                <w:lang w:val="en-US" w:eastAsia="zh-CN" w:bidi="ar-SA"/>
              </w:rPr>
            </w:pPr>
            <w:r>
              <w:rPr>
                <w:rFonts w:hint="eastAsia" w:ascii="Times New Roman" w:hAnsi="Times New Roman" w:eastAsia="仿宋" w:cs="Times New Roman"/>
                <w:b w:val="0"/>
                <w:bCs w:val="0"/>
                <w:sz w:val="28"/>
                <w:szCs w:val="28"/>
                <w:vertAlign w:val="baseline"/>
                <w:lang w:val="en-US" w:eastAsia="zh-CN"/>
              </w:rPr>
              <w:t>第六节下肢部</w:t>
            </w:r>
          </w:p>
        </w:tc>
        <w:tc>
          <w:tcPr>
            <w:tcW w:w="1140" w:type="dxa"/>
            <w:vAlign w:val="center"/>
          </w:tcPr>
          <w:p w14:paraId="2AE0107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3</w:t>
            </w:r>
          </w:p>
        </w:tc>
      </w:tr>
      <w:tr w14:paraId="3BC48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12750FB1">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第十六周</w:t>
            </w:r>
          </w:p>
        </w:tc>
        <w:tc>
          <w:tcPr>
            <w:tcW w:w="1662" w:type="dxa"/>
            <w:vAlign w:val="center"/>
          </w:tcPr>
          <w:p w14:paraId="0880337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shd w:val="clear" w:color="auto" w:fill="auto"/>
            <w:vAlign w:val="center"/>
          </w:tcPr>
          <w:p w14:paraId="0D72D86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kern w:val="2"/>
                <w:sz w:val="28"/>
                <w:szCs w:val="28"/>
                <w:vertAlign w:val="baseline"/>
                <w:lang w:val="en-US" w:eastAsia="zh-CN" w:bidi="ar-SA"/>
              </w:rPr>
            </w:pPr>
            <w:r>
              <w:rPr>
                <w:rFonts w:hint="eastAsia" w:ascii="Times New Roman" w:hAnsi="Times New Roman" w:eastAsia="仿宋" w:cs="Times New Roman"/>
                <w:b w:val="0"/>
                <w:bCs w:val="0"/>
                <w:sz w:val="28"/>
                <w:szCs w:val="28"/>
                <w:vertAlign w:val="baseline"/>
                <w:lang w:val="en-US" w:eastAsia="zh-CN"/>
              </w:rPr>
              <w:t>第六节下肢部</w:t>
            </w:r>
          </w:p>
        </w:tc>
        <w:tc>
          <w:tcPr>
            <w:tcW w:w="1140" w:type="dxa"/>
            <w:vAlign w:val="center"/>
          </w:tcPr>
          <w:p w14:paraId="7D521235">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38AEE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3727DB4A">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第十七周</w:t>
            </w:r>
          </w:p>
        </w:tc>
        <w:tc>
          <w:tcPr>
            <w:tcW w:w="1662" w:type="dxa"/>
            <w:vAlign w:val="center"/>
          </w:tcPr>
          <w:p w14:paraId="73D227C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shd w:val="clear" w:color="auto" w:fill="auto"/>
            <w:vAlign w:val="center"/>
          </w:tcPr>
          <w:p w14:paraId="72F981A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kern w:val="2"/>
                <w:sz w:val="28"/>
                <w:szCs w:val="28"/>
                <w:vertAlign w:val="baseline"/>
                <w:lang w:val="en-US" w:eastAsia="zh-CN" w:bidi="ar-SA"/>
              </w:rPr>
            </w:pPr>
            <w:r>
              <w:rPr>
                <w:rFonts w:hint="eastAsia" w:ascii="Times New Roman" w:hAnsi="Times New Roman" w:eastAsia="仿宋" w:cs="Times New Roman"/>
                <w:b w:val="0"/>
                <w:bCs w:val="0"/>
                <w:sz w:val="28"/>
                <w:szCs w:val="28"/>
                <w:vertAlign w:val="baseline"/>
                <w:lang w:val="en-US" w:eastAsia="zh-CN"/>
              </w:rPr>
              <w:t>第五章按摩功底</w:t>
            </w:r>
          </w:p>
        </w:tc>
        <w:tc>
          <w:tcPr>
            <w:tcW w:w="1140" w:type="dxa"/>
            <w:vAlign w:val="center"/>
          </w:tcPr>
          <w:p w14:paraId="1AF7010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32AE4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34F21B6B">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第十八周</w:t>
            </w:r>
          </w:p>
        </w:tc>
        <w:tc>
          <w:tcPr>
            <w:tcW w:w="1662" w:type="dxa"/>
            <w:vAlign w:val="center"/>
          </w:tcPr>
          <w:p w14:paraId="05E031E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shd w:val="clear" w:color="auto" w:fill="auto"/>
            <w:vAlign w:val="center"/>
          </w:tcPr>
          <w:p w14:paraId="76EB2FA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kern w:val="2"/>
                <w:sz w:val="28"/>
                <w:szCs w:val="28"/>
                <w:vertAlign w:val="baseline"/>
                <w:lang w:val="en-US" w:eastAsia="zh-CN" w:bidi="ar-SA"/>
              </w:rPr>
            </w:pPr>
            <w:r>
              <w:rPr>
                <w:rFonts w:hint="eastAsia" w:ascii="Times New Roman" w:hAnsi="Times New Roman" w:eastAsia="仿宋" w:cs="Times New Roman"/>
                <w:b w:val="0"/>
                <w:bCs w:val="0"/>
                <w:sz w:val="28"/>
                <w:szCs w:val="28"/>
                <w:vertAlign w:val="baseline"/>
                <w:lang w:val="en-US" w:eastAsia="zh-CN"/>
              </w:rPr>
              <w:t>第五章按摩功底</w:t>
            </w:r>
          </w:p>
        </w:tc>
        <w:tc>
          <w:tcPr>
            <w:tcW w:w="1140" w:type="dxa"/>
            <w:vAlign w:val="center"/>
          </w:tcPr>
          <w:p w14:paraId="70C111D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3</w:t>
            </w:r>
          </w:p>
        </w:tc>
      </w:tr>
      <w:tr w14:paraId="2935F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32CF440E">
            <w:pPr>
              <w:jc w:val="center"/>
              <w:rPr>
                <w:rFonts w:hint="default" w:ascii="Times New Roman" w:hAnsi="Times New Roman" w:eastAsia="仿宋" w:cs="Times New Roman"/>
                <w:color w:val="auto"/>
                <w:kern w:val="2"/>
                <w:sz w:val="28"/>
                <w:szCs w:val="28"/>
                <w:lang w:val="en-US" w:eastAsia="zh-CN" w:bidi="ar-SA"/>
              </w:rPr>
            </w:pPr>
            <w:r>
              <w:rPr>
                <w:rFonts w:hint="default" w:ascii="Times New Roman" w:hAnsi="Times New Roman" w:eastAsia="仿宋" w:cs="Times New Roman"/>
                <w:color w:val="auto"/>
                <w:sz w:val="28"/>
                <w:szCs w:val="28"/>
              </w:rPr>
              <w:t>第十九周</w:t>
            </w:r>
          </w:p>
        </w:tc>
        <w:tc>
          <w:tcPr>
            <w:tcW w:w="1662" w:type="dxa"/>
            <w:vAlign w:val="center"/>
          </w:tcPr>
          <w:p w14:paraId="02FC05E0">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shd w:val="clear" w:color="auto" w:fill="auto"/>
            <w:vAlign w:val="center"/>
          </w:tcPr>
          <w:p w14:paraId="3C33D90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kern w:val="2"/>
                <w:sz w:val="28"/>
                <w:szCs w:val="28"/>
                <w:vertAlign w:val="baseline"/>
                <w:lang w:val="en-US" w:eastAsia="zh-CN" w:bidi="ar-SA"/>
              </w:rPr>
            </w:pPr>
            <w:r>
              <w:rPr>
                <w:rFonts w:hint="eastAsia" w:ascii="Times New Roman" w:hAnsi="Times New Roman" w:eastAsia="仿宋" w:cs="Times New Roman"/>
                <w:b w:val="0"/>
                <w:bCs w:val="0"/>
                <w:sz w:val="28"/>
                <w:szCs w:val="28"/>
                <w:vertAlign w:val="baseline"/>
                <w:lang w:val="en-US" w:eastAsia="zh-CN"/>
              </w:rPr>
              <w:t>第五章按摩功底</w:t>
            </w:r>
          </w:p>
        </w:tc>
        <w:tc>
          <w:tcPr>
            <w:tcW w:w="1140" w:type="dxa"/>
            <w:vAlign w:val="center"/>
          </w:tcPr>
          <w:p w14:paraId="42FE774A">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0BEFD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35B7DCB5">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color w:val="auto"/>
                <w:sz w:val="28"/>
                <w:szCs w:val="28"/>
                <w:vertAlign w:val="baseline"/>
                <w:lang w:val="en-US" w:eastAsia="zh-CN"/>
              </w:rPr>
            </w:pPr>
            <w:r>
              <w:rPr>
                <w:rFonts w:hint="default" w:ascii="Times New Roman" w:hAnsi="Times New Roman" w:eastAsia="仿宋" w:cs="Times New Roman"/>
                <w:b w:val="0"/>
                <w:bCs w:val="0"/>
                <w:color w:val="auto"/>
                <w:sz w:val="28"/>
                <w:szCs w:val="28"/>
                <w:vertAlign w:val="baseline"/>
                <w:lang w:val="en-US" w:eastAsia="zh-CN"/>
              </w:rPr>
              <w:t>第二十周</w:t>
            </w:r>
          </w:p>
        </w:tc>
        <w:tc>
          <w:tcPr>
            <w:tcW w:w="1662" w:type="dxa"/>
            <w:vAlign w:val="center"/>
          </w:tcPr>
          <w:p w14:paraId="61B97D59">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shd w:val="clear" w:color="auto" w:fill="auto"/>
            <w:vAlign w:val="center"/>
          </w:tcPr>
          <w:tbl>
            <w:tblPr>
              <w:tblStyle w:val="6"/>
              <w:tblW w:w="9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5"/>
            </w:tblGrid>
            <w:tr w14:paraId="790E5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9" w:hRule="exact"/>
                <w:jc w:val="center"/>
              </w:trPr>
              <w:tc>
                <w:tcPr>
                  <w:tcW w:w="5115" w:type="dxa"/>
                  <w:vAlign w:val="center"/>
                </w:tcPr>
                <w:p w14:paraId="2B1C08F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kern w:val="2"/>
                      <w:sz w:val="28"/>
                      <w:szCs w:val="28"/>
                      <w:vertAlign w:val="baseline"/>
                      <w:lang w:val="en-US" w:eastAsia="zh-CN" w:bidi="ar-SA"/>
                    </w:rPr>
                  </w:pPr>
                  <w:r>
                    <w:rPr>
                      <w:rFonts w:hint="eastAsia" w:ascii="Times New Roman" w:hAnsi="Times New Roman" w:eastAsia="仿宋" w:cs="Times New Roman"/>
                      <w:b w:val="0"/>
                      <w:bCs w:val="0"/>
                      <w:sz w:val="28"/>
                      <w:szCs w:val="28"/>
                      <w:vertAlign w:val="baseline"/>
                      <w:lang w:val="en-US" w:eastAsia="zh-CN"/>
                    </w:rPr>
                    <w:t>第五章按摩功底</w:t>
                  </w:r>
                </w:p>
              </w:tc>
            </w:tr>
          </w:tbl>
          <w:p w14:paraId="61076BD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kern w:val="2"/>
                <w:sz w:val="28"/>
                <w:szCs w:val="28"/>
                <w:vertAlign w:val="baseline"/>
                <w:lang w:val="en-US" w:eastAsia="zh-CN" w:bidi="ar-SA"/>
              </w:rPr>
            </w:pPr>
          </w:p>
        </w:tc>
        <w:tc>
          <w:tcPr>
            <w:tcW w:w="1140" w:type="dxa"/>
            <w:vAlign w:val="center"/>
          </w:tcPr>
          <w:p w14:paraId="080DD149">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r w14:paraId="055F0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813" w:type="dxa"/>
            <w:vAlign w:val="center"/>
          </w:tcPr>
          <w:p w14:paraId="319B01B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color w:val="auto"/>
                <w:sz w:val="28"/>
                <w:szCs w:val="28"/>
                <w:vertAlign w:val="baseline"/>
                <w:lang w:val="en-US" w:eastAsia="zh-CN"/>
              </w:rPr>
            </w:pPr>
            <w:r>
              <w:rPr>
                <w:rFonts w:hint="default" w:ascii="Times New Roman" w:hAnsi="Times New Roman" w:eastAsia="仿宋" w:cs="Times New Roman"/>
                <w:b w:val="0"/>
                <w:bCs w:val="0"/>
                <w:color w:val="auto"/>
                <w:sz w:val="28"/>
                <w:szCs w:val="28"/>
                <w:vertAlign w:val="baseline"/>
                <w:lang w:val="en-US" w:eastAsia="zh-CN"/>
              </w:rPr>
              <w:t>第二十一周</w:t>
            </w:r>
          </w:p>
        </w:tc>
        <w:tc>
          <w:tcPr>
            <w:tcW w:w="1662" w:type="dxa"/>
            <w:vAlign w:val="center"/>
          </w:tcPr>
          <w:p w14:paraId="7DF78B59">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p>
        </w:tc>
        <w:tc>
          <w:tcPr>
            <w:tcW w:w="5115" w:type="dxa"/>
            <w:vAlign w:val="center"/>
          </w:tcPr>
          <w:p w14:paraId="6E2A4DC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期末复习</w:t>
            </w:r>
            <w:bookmarkStart w:id="0" w:name="_GoBack"/>
            <w:bookmarkEnd w:id="0"/>
          </w:p>
        </w:tc>
        <w:tc>
          <w:tcPr>
            <w:tcW w:w="1140" w:type="dxa"/>
            <w:vAlign w:val="center"/>
          </w:tcPr>
          <w:p w14:paraId="22E2B17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仿宋" w:cs="Times New Roman"/>
                <w:b w:val="0"/>
                <w:bCs w:val="0"/>
                <w:sz w:val="28"/>
                <w:szCs w:val="28"/>
                <w:vertAlign w:val="baseline"/>
                <w:lang w:val="en-US" w:eastAsia="zh-CN"/>
              </w:rPr>
            </w:pPr>
            <w:r>
              <w:rPr>
                <w:rFonts w:hint="eastAsia" w:ascii="Times New Roman" w:hAnsi="Times New Roman" w:eastAsia="仿宋" w:cs="Times New Roman"/>
                <w:b w:val="0"/>
                <w:bCs w:val="0"/>
                <w:sz w:val="28"/>
                <w:szCs w:val="28"/>
                <w:vertAlign w:val="baseline"/>
                <w:lang w:val="en-US" w:eastAsia="zh-CN"/>
              </w:rPr>
              <w:t>2</w:t>
            </w:r>
          </w:p>
        </w:tc>
      </w:tr>
    </w:tbl>
    <w:p w14:paraId="36C18772">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 w:hAnsi="仿宋" w:eastAsia="仿宋" w:cs="仿宋"/>
          <w:b/>
          <w:bCs/>
          <w:sz w:val="32"/>
          <w:szCs w:val="32"/>
          <w:lang w:val="en-US" w:eastAsia="zh-CN"/>
        </w:rPr>
      </w:pPr>
    </w:p>
    <w:p w14:paraId="528FF200">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07D6A6D4">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4407774C">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4C952524">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ourier New">
    <w:panose1 w:val="02070309020205020404"/>
    <w:charset w:val="00"/>
    <w:family w:val="auto"/>
    <w:pitch w:val="default"/>
    <w:sig w:usb0="E0002E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D8847D"/>
    <w:multiLevelType w:val="singleLevel"/>
    <w:tmpl w:val="A9D884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0OTMxYjlhYjNjMGVlNDU5OTNhZWYwOTlmOTk3M2EifQ=="/>
    <w:docVar w:name="KSO_WPS_MARK_KEY" w:val="0bb7a70b-57c4-480e-8e88-c753ccbeaa66"/>
  </w:docVars>
  <w:rsids>
    <w:rsidRoot w:val="00000000"/>
    <w:rsid w:val="03AD63A4"/>
    <w:rsid w:val="1A9235A2"/>
    <w:rsid w:val="21977D42"/>
    <w:rsid w:val="2E7E327F"/>
    <w:rsid w:val="3DAB5FAB"/>
    <w:rsid w:val="46505347"/>
    <w:rsid w:val="4826706B"/>
    <w:rsid w:val="493F054C"/>
    <w:rsid w:val="559546C5"/>
    <w:rsid w:val="59623FD6"/>
    <w:rsid w:val="64E62E85"/>
    <w:rsid w:val="75507B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qFormat/>
    <w:uiPriority w:val="0"/>
  </w:style>
  <w:style w:type="table" w:default="1" w:styleId="5">
    <w:name w:val="Normal Table"/>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2784</Words>
  <Characters>2801</Characters>
  <Paragraphs>158</Paragraphs>
  <TotalTime>56</TotalTime>
  <ScaleCrop>false</ScaleCrop>
  <LinksUpToDate>false</LinksUpToDate>
  <CharactersWithSpaces>2817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菲</cp:lastModifiedBy>
  <cp:lastPrinted>2024-09-24T00:25:00Z</cp:lastPrinted>
  <dcterms:modified xsi:type="dcterms:W3CDTF">2025-02-16T09:43:43Z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32F1E6B921EE4724A01995342F7D7DB9_13</vt:lpwstr>
  </property>
  <property fmtid="{D5CDD505-2E9C-101B-9397-08002B2CF9AE}" pid="4" name="KSOTemplateDocerSaveRecord">
    <vt:lpwstr>eyJoZGlkIjoiNDE5MTVkZTU5MWE5ODE0NzViNGNhMWJlZGQxODE1NTMiLCJ1c2VySWQiOiI1NTkxNDE3ODEifQ==</vt:lpwstr>
  </property>
</Properties>
</file>