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731F0">
      <w:pPr>
        <w:jc w:val="center"/>
        <w:rPr>
          <w:rFonts w:hint="eastAsia" w:ascii="黑体" w:hAnsi="黑体" w:eastAsia="黑体"/>
          <w:sz w:val="44"/>
          <w:szCs w:val="44"/>
        </w:rPr>
      </w:pPr>
    </w:p>
    <w:p w14:paraId="332EB04E">
      <w:pPr>
        <w:jc w:val="center"/>
        <w:rPr>
          <w:rFonts w:ascii="黑体" w:hAnsi="黑体" w:eastAsia="黑体"/>
          <w:sz w:val="44"/>
          <w:szCs w:val="44"/>
        </w:rPr>
      </w:pPr>
      <w:r>
        <w:rPr>
          <w:rFonts w:hint="eastAsia" w:ascii="黑体" w:hAnsi="黑体" w:eastAsia="黑体"/>
          <w:sz w:val="44"/>
          <w:szCs w:val="44"/>
        </w:rPr>
        <w:t>聊城市特殊教育学校</w:t>
      </w:r>
    </w:p>
    <w:p w14:paraId="2CF2E1B3">
      <w:pPr>
        <w:jc w:val="center"/>
        <w:rPr>
          <w:rFonts w:ascii="仿宋" w:hAnsi="仿宋" w:eastAsia="仿宋"/>
          <w:b/>
          <w:sz w:val="32"/>
          <w:szCs w:val="32"/>
        </w:rPr>
      </w:pP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24-</w:t>
      </w: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25</w:t>
      </w:r>
      <w:r>
        <w:rPr>
          <w:rFonts w:ascii="Times New Roman" w:hAnsi="Times New Roman" w:eastAsia="仿宋" w:cs="Times New Roman"/>
          <w:b/>
          <w:sz w:val="32"/>
          <w:szCs w:val="32"/>
        </w:rPr>
        <w:t>年</w:t>
      </w:r>
      <w:r>
        <w:rPr>
          <w:rFonts w:hint="eastAsia" w:ascii="仿宋" w:hAnsi="仿宋" w:eastAsia="仿宋"/>
          <w:b/>
          <w:sz w:val="32"/>
          <w:szCs w:val="32"/>
        </w:rPr>
        <w:t>度第</w:t>
      </w:r>
      <w:r>
        <w:rPr>
          <w:rFonts w:hint="eastAsia" w:ascii="仿宋" w:hAnsi="仿宋" w:eastAsia="仿宋"/>
          <w:b/>
          <w:sz w:val="32"/>
          <w:szCs w:val="32"/>
          <w:lang w:val="en-US" w:eastAsia="zh-CN"/>
        </w:rPr>
        <w:t>二</w:t>
      </w:r>
      <w:r>
        <w:rPr>
          <w:rFonts w:hint="eastAsia" w:ascii="仿宋" w:hAnsi="仿宋" w:eastAsia="仿宋"/>
          <w:b/>
          <w:sz w:val="32"/>
          <w:szCs w:val="32"/>
        </w:rPr>
        <w:t>学期教学计划</w:t>
      </w:r>
    </w:p>
    <w:p w14:paraId="5F3ABCDB">
      <w:pPr>
        <w:rPr>
          <w:rFonts w:ascii="仿宋" w:hAnsi="仿宋" w:eastAsia="仿宋"/>
          <w:sz w:val="32"/>
          <w:szCs w:val="32"/>
        </w:rPr>
      </w:pPr>
      <w:r>
        <w:rPr>
          <w:rFonts w:hint="eastAsia" w:ascii="仿宋" w:hAnsi="仿宋" w:eastAsia="仿宋"/>
          <w:sz w:val="32"/>
          <w:szCs w:val="32"/>
        </w:rPr>
        <mc:AlternateContent>
          <mc:Choice Requires="wps">
            <w:drawing>
              <wp:anchor distT="0" distB="0" distL="0" distR="0" simplePos="0" relativeHeight="251659264" behindDoc="0" locked="0" layoutInCell="1" allowOverlap="1">
                <wp:simplePos x="0" y="0"/>
                <wp:positionH relativeFrom="margin">
                  <wp:posOffset>16510</wp:posOffset>
                </wp:positionH>
                <wp:positionV relativeFrom="paragraph">
                  <wp:posOffset>361315</wp:posOffset>
                </wp:positionV>
                <wp:extent cx="5090795" cy="2540"/>
                <wp:effectExtent l="0" t="0" r="0" b="0"/>
                <wp:wrapNone/>
                <wp:docPr id="1026" name="直接连接符 1"/>
                <wp:cNvGraphicFramePr/>
                <a:graphic xmlns:a="http://schemas.openxmlformats.org/drawingml/2006/main">
                  <a:graphicData uri="http://schemas.microsoft.com/office/word/2010/wordprocessingShape">
                    <wps:wsp>
                      <wps:cNvCnPr/>
                      <wps:spPr>
                        <a:xfrm flipV="1">
                          <a:off x="0" y="0"/>
                          <a:ext cx="5090795" cy="2540"/>
                        </a:xfrm>
                        <a:prstGeom prst="line">
                          <a:avLst/>
                        </a:prstGeom>
                        <a:ln w="6350" cap="flat" cmpd="sng">
                          <a:solidFill>
                            <a:srgbClr val="000000"/>
                          </a:solidFill>
                          <a:prstDash val="solid"/>
                          <a:miter/>
                        </a:ln>
                      </wps:spPr>
                      <wps:bodyPr/>
                    </wps:wsp>
                  </a:graphicData>
                </a:graphic>
              </wp:anchor>
            </w:drawing>
          </mc:Choice>
          <mc:Fallback>
            <w:pict>
              <v:line id="直接连接符 1" o:spid="_x0000_s1026" o:spt="20" style="position:absolute;left:0pt;flip:y;margin-left:1.3pt;margin-top:28.45pt;height:0.2pt;width:400.85pt;mso-position-horizontal-relative:margin;z-index:251659264;mso-width-relative:page;mso-height-relative:page;" filled="f" stroked="t" coordsize="21600,21600" o:gfxdata="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HPUfa1QAAAAcBAAAPAAAA&#10;AAAAAAEAIAAAACIAAABkcnMvZG93bnJldi54bWxQSwECFAAUAAAACACHTuJA3jvsz98BAACeAwAA&#10;DgAAAAAAAAABACAAAAAkAQAAZHJzL2Uyb0RvYy54bWxQSwUGAAAAAAYABgBZAQAAdQUAAAAA&#10;">
                <v:fill on="f" focussize="0,0"/>
                <v:stroke weight="0.5pt" color="#000000" joinstyle="miter"/>
                <v:imagedata o:title=""/>
                <o:lock v:ext="edit" aspectratio="f"/>
              </v:line>
            </w:pict>
          </mc:Fallback>
        </mc:AlternateContent>
      </w:r>
      <w:r>
        <w:rPr>
          <w:rFonts w:hint="eastAsia" w:ascii="仿宋" w:hAnsi="仿宋" w:eastAsia="仿宋"/>
          <w:sz w:val="32"/>
          <w:szCs w:val="32"/>
        </w:rPr>
        <w:t>班级：视障</w:t>
      </w:r>
      <w:r>
        <w:rPr>
          <w:rFonts w:hint="eastAsia" w:ascii="仿宋" w:hAnsi="仿宋" w:eastAsia="仿宋"/>
          <w:sz w:val="32"/>
          <w:szCs w:val="32"/>
          <w:lang w:val="en-US" w:eastAsia="zh-CN"/>
        </w:rPr>
        <w:t>中职</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科目：</w:t>
      </w:r>
      <w:r>
        <w:rPr>
          <w:rFonts w:hint="eastAsia" w:ascii="仿宋" w:hAnsi="仿宋" w:eastAsia="仿宋"/>
          <w:sz w:val="32"/>
          <w:szCs w:val="32"/>
          <w:lang w:val="en-US" w:eastAsia="zh-CN"/>
        </w:rPr>
        <w:t>实用人体学</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教师：</w:t>
      </w:r>
      <w:r>
        <w:rPr>
          <w:rFonts w:hint="eastAsia" w:ascii="仿宋" w:hAnsi="仿宋" w:eastAsia="仿宋"/>
          <w:sz w:val="32"/>
          <w:szCs w:val="32"/>
          <w:lang w:val="en-US" w:eastAsia="zh-CN"/>
        </w:rPr>
        <w:t>毛新菲</w:t>
      </w:r>
      <w:r>
        <w:rPr>
          <w:rFonts w:hint="eastAsia" w:ascii="仿宋" w:hAnsi="仿宋" w:eastAsia="仿宋"/>
          <w:sz w:val="32"/>
          <w:szCs w:val="32"/>
        </w:rPr>
        <w:t xml:space="preserve">      </w:t>
      </w:r>
    </w:p>
    <w:p w14:paraId="4911F125">
      <w:pPr>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一、学情分析</w:t>
      </w:r>
    </w:p>
    <w:p w14:paraId="6EEDC25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视障部</w:t>
      </w:r>
      <w:r>
        <w:rPr>
          <w:rFonts w:hint="eastAsia" w:ascii="Times New Roman" w:hAnsi="Times New Roman" w:eastAsia="仿宋" w:cs="Times New Roman"/>
          <w:sz w:val="32"/>
          <w:szCs w:val="32"/>
          <w:lang w:val="en-US" w:eastAsia="zh-CN"/>
        </w:rPr>
        <w:t>职业班</w:t>
      </w:r>
      <w:r>
        <w:rPr>
          <w:rFonts w:ascii="Times New Roman" w:hAnsi="Times New Roman" w:eastAsia="仿宋" w:cs="Times New Roman"/>
          <w:sz w:val="32"/>
          <w:szCs w:val="32"/>
        </w:rPr>
        <w:t>共</w:t>
      </w:r>
      <w:r>
        <w:rPr>
          <w:rFonts w:hint="eastAsia" w:ascii="Times New Roman" w:hAnsi="Times New Roman" w:eastAsia="仿宋" w:cs="Times New Roman"/>
          <w:sz w:val="32"/>
          <w:szCs w:val="32"/>
          <w:lang w:val="en-US" w:eastAsia="zh-CN"/>
        </w:rPr>
        <w:t>7</w:t>
      </w:r>
      <w:r>
        <w:rPr>
          <w:rFonts w:ascii="Times New Roman" w:hAnsi="Times New Roman" w:eastAsia="仿宋" w:cs="Times New Roman"/>
          <w:sz w:val="32"/>
          <w:szCs w:val="32"/>
        </w:rPr>
        <w:t>名学生</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其中使用大字教材、低视力生有4人，使用盲文、全盲学生有3人，本班级的学生部分度过一年高中部分为初中升入，学生差异性较大，在理解能力和领悟能力方面比较明显，其中2名使用汉字的学生识字量较少很难独立阅读教材，学生们的空间感知能力较差，在实际教学过程中学生们都需要采用“手把手”实际触摸的方式才能准确把握和理解解剖结构的特点。</w:t>
      </w:r>
      <w:bookmarkStart w:id="0" w:name="_GoBack"/>
      <w:bookmarkEnd w:id="0"/>
    </w:p>
    <w:p w14:paraId="440AA6C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二、教材分析</w:t>
      </w:r>
    </w:p>
    <w:p w14:paraId="296608D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学期采用的教材为全国盲人医疗按摩中等专业统编教材。是根据国家《盲人按摩工作“十二五”实施方案》中完善盲人医疗按摩专业教材规范化建设的要求，结合当前我国盲人医疗按摩教育和临床现状以及未来发展需要，由中国盲人按摩指导中心组织全国部分盲人按摩大中专学校、中医药大学和中医医疗机构的专家教授编写完成的盲人按摩中等专业统编教材。</w:t>
      </w:r>
    </w:p>
    <w:p w14:paraId="0E79994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实用人体学》涵盖了人体的基本组成与结构、运动系统、消化系统、呼吸系统、泌尿系统、生殖系统、能量代谢和体温、血液、循环系统、内分泌系统、神经系统十二个章节的内容，是一门研究正常人体形态结构及生命活动规律的科学，是学习中医和西医的必修课，也是盲人医疗按摩专业其他课程的必修课。通过本课程的学习，学生掌握人体形态结构和功能的基本知识，为学习其他医学课程打下必要的基础。本教材是根据教育部《关于推进中等和高等职业教育协调发展的指导意见》的精神，为适应我国盲人医疗按摩中等专业教育发展的需要，全面推进素质教育，培养盲人医疗按摩人才，而编写的盲人医疗按摩中等专业教材。</w:t>
      </w:r>
    </w:p>
    <w:p w14:paraId="0AF9031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教材的编写以全国盲人医疗按摩人员中等专业教育的教学大纲为依据，在注重教材科学性和系统性的基础上，兼顾了盲人按摩教育的现状（就业以按摩为主，中专新生的认知水平等）和特点。本教材以学生为中心，坚持以“三基”（基本知识、基本理论、基本技能）为根本，着眼于科学性、系统性、先进性，突出“实用、有用、够用”的原则。</w:t>
      </w:r>
    </w:p>
    <w:p w14:paraId="588AB7A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三、学习目标</w:t>
      </w:r>
    </w:p>
    <w:p w14:paraId="43EA325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本学期的学习目标为完成前五章的课程内容，具体要求如下：</w:t>
      </w:r>
    </w:p>
    <w:p w14:paraId="3F819982">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知识目标</w:t>
      </w:r>
    </w:p>
    <w:p w14:paraId="266184D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p>
    <w:p w14:paraId="616E1E6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（1）掌握泌尿系统的组成、结构和功能，包括肾脏、输尿管、膀胱和尿道。</w:t>
      </w:r>
    </w:p>
    <w:p w14:paraId="63C8302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（2）理解尿的生成过程，包括肾小球滤过、肾小管和集合管的重吸收及分泌。</w:t>
      </w:r>
    </w:p>
    <w:p w14:paraId="564BB0D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（3）了解泌尿系统疾病的常见症状和发病机制。</w:t>
      </w:r>
    </w:p>
    <w:p w14:paraId="2A90AD3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（4）熟悉男性和女性生殖系统的结构与功能，包括生殖器官、生殖细胞的发生与成熟。</w:t>
      </w:r>
    </w:p>
    <w:p w14:paraId="10A0C4B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（5）理解生殖过程，包括受精、妊娠和分娩的生理机制。</w:t>
      </w:r>
    </w:p>
    <w:p w14:paraId="20D135B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（6）掌握生殖健康知识，包括避孕、性传播疾病的预防和性教育。技能目标</w:t>
      </w:r>
    </w:p>
    <w:p w14:paraId="7D24E48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（7）能够正确使用人体解剖模型和图谱进行学习。具备基本的人体生理指标测量和分析能力。 初步掌握常见康复治疗技术的人体学原理。 </w:t>
      </w:r>
    </w:p>
    <w:p w14:paraId="4730CEE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（8）</w:t>
      </w:r>
      <w:r>
        <w:rPr>
          <w:rFonts w:hint="default" w:ascii="仿宋" w:hAnsi="仿宋" w:eastAsia="仿宋" w:cs="仿宋"/>
          <w:sz w:val="32"/>
          <w:szCs w:val="32"/>
          <w:lang w:val="en-US" w:eastAsia="zh-CN"/>
        </w:rPr>
        <w:t>掌握能量代谢的基本概念，包括能量的摄入、利用和储存。了解三大营养物质（碳水化合物、脂肪、蛋白质）的代谢途径和能量转换。理解能量平衡对健康的重要性，以及如何通过饮食和运动调节能量代谢。</w:t>
      </w:r>
    </w:p>
    <w:p w14:paraId="3C9A9C2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（9）</w:t>
      </w:r>
      <w:r>
        <w:rPr>
          <w:rFonts w:hint="default" w:ascii="仿宋" w:hAnsi="仿宋" w:eastAsia="仿宋" w:cs="仿宋"/>
          <w:sz w:val="32"/>
          <w:szCs w:val="32"/>
          <w:lang w:val="en-US" w:eastAsia="zh-CN"/>
        </w:rPr>
        <w:t>掌握血液的组成成分，包括血浆、红细胞、白细胞和血小板。理解血液的功能，包括运输、防御、凝血等。了解血型系统和输血原则，以及血液疾病的诊断和治疗。</w:t>
      </w:r>
    </w:p>
    <w:p w14:paraId="02064B1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（10）</w:t>
      </w:r>
      <w:r>
        <w:rPr>
          <w:rFonts w:hint="default" w:ascii="仿宋" w:hAnsi="仿宋" w:eastAsia="仿宋" w:cs="仿宋"/>
          <w:sz w:val="32"/>
          <w:szCs w:val="32"/>
          <w:lang w:val="en-US" w:eastAsia="zh-CN"/>
        </w:rPr>
        <w:t>掌握循环系统的组成，包括心脏和血管系统。理解心脏的结构和功能，以及心脏泵血的过程。熟悉血管的分类、结构和功能，以及血液循环的路径和调节机制。</w:t>
      </w:r>
    </w:p>
    <w:p w14:paraId="0FEFCB3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（11）</w:t>
      </w:r>
      <w:r>
        <w:rPr>
          <w:rFonts w:hint="default" w:ascii="仿宋" w:hAnsi="仿宋" w:eastAsia="仿宋" w:cs="仿宋"/>
          <w:sz w:val="32"/>
          <w:szCs w:val="32"/>
          <w:lang w:val="en-US" w:eastAsia="zh-CN"/>
        </w:rPr>
        <w:t>掌握内分泌系统的组成，包括内分泌腺和内分泌组织。理解激素的分泌、运输和作用机制。熟悉内分泌疾病的临床表现、诊断和治疗原则。</w:t>
      </w:r>
    </w:p>
    <w:p w14:paraId="44EC898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（12）</w:t>
      </w:r>
      <w:r>
        <w:rPr>
          <w:rFonts w:hint="default" w:ascii="仿宋" w:hAnsi="仿宋" w:eastAsia="仿宋" w:cs="仿宋"/>
          <w:sz w:val="32"/>
          <w:szCs w:val="32"/>
          <w:lang w:val="en-US" w:eastAsia="zh-CN"/>
        </w:rPr>
        <w:t>掌握感觉器官的结构和功能，包括视觉、听觉、嗅觉、味觉和触觉器官。理解感觉过程，包括感受器的刺激、神经冲动的传导和中枢处理。了解感觉障碍的常见原因和治疗方法。</w:t>
      </w:r>
    </w:p>
    <w:p w14:paraId="12C5754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（13）</w:t>
      </w:r>
      <w:r>
        <w:rPr>
          <w:rFonts w:hint="default" w:ascii="仿宋" w:hAnsi="仿宋" w:eastAsia="仿宋" w:cs="仿宋"/>
          <w:sz w:val="32"/>
          <w:szCs w:val="32"/>
          <w:lang w:val="en-US" w:eastAsia="zh-CN"/>
        </w:rPr>
        <w:t>掌握神经系统的组成，包括中枢神经系统和周围神经系统。理解神经元的结构和功能，以及神经冲动的传导机制。熟悉神经系统的调节功能，包括感觉、运动、自主神经和高级神经活动。了解神经系统疾病的临床表现、诊断和治疗原则。</w:t>
      </w:r>
    </w:p>
    <w:p w14:paraId="2659D1F4">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技能目标</w:t>
      </w:r>
    </w:p>
    <w:p w14:paraId="4DBF34E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（1）能够正确使用人体解剖模型、图谱和生理实验设备进行学习和实践。</w:t>
      </w:r>
    </w:p>
    <w:p w14:paraId="6DAA999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（2）具备基本的人体生理指标测量和分析能力，如心率、血压、呼吸频率等。</w:t>
      </w:r>
    </w:p>
    <w:p w14:paraId="4D3F273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（3）初步掌握常见康复治疗技术的人体学原理，如物理疗法、运动疗法等。</w:t>
      </w:r>
    </w:p>
    <w:p w14:paraId="294C8C8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（4）能够运用所学知识进行疾病诊断、治疗和预防的初步分析。</w:t>
      </w:r>
    </w:p>
    <w:p w14:paraId="35F5C00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3.素质目标</w:t>
      </w:r>
    </w:p>
    <w:p w14:paraId="64AA22E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培养学生的科学思维和严谨的学习态度，注重实践和创新能力的培养。</w:t>
      </w:r>
    </w:p>
    <w:p w14:paraId="333507C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增强学生的职业责任感和使命感，了解医学伦理和职业道德规范。</w:t>
      </w:r>
    </w:p>
    <w:p w14:paraId="164DC8E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default" w:ascii="仿宋" w:hAnsi="仿宋" w:eastAsia="仿宋" w:cs="仿宋"/>
          <w:sz w:val="32"/>
          <w:szCs w:val="32"/>
          <w:lang w:val="en-US" w:eastAsia="zh-CN"/>
        </w:rPr>
        <w:t>提高学生的团队合作和沟通能力，培养跨学科协作和解决问题的能力。</w:t>
      </w:r>
    </w:p>
    <w:p w14:paraId="3287B92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default" w:ascii="仿宋" w:hAnsi="仿宋" w:eastAsia="仿宋" w:cs="仿宋"/>
          <w:sz w:val="32"/>
          <w:szCs w:val="32"/>
          <w:lang w:val="en-US" w:eastAsia="zh-CN"/>
        </w:rPr>
        <w:t>激发学生对医学知识的兴趣和热情，培养终身学习的习惯。</w:t>
      </w:r>
    </w:p>
    <w:p w14:paraId="04D6109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四、教学措施</w:t>
      </w:r>
    </w:p>
    <w:p w14:paraId="6F3502F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1.理论与实践相结合</w:t>
      </w:r>
    </w:p>
    <w:p w14:paraId="675AAF5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实验教学：增加实验课程比重，让学生亲自动手解剖动物标本或观察人体模型，直观了解各系统的结构。例如在泌尿系统教学中，通过观察肾脏标本，清晰认识肾脏的内部结构。</w:t>
      </w:r>
    </w:p>
    <w:p w14:paraId="38E9B0C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临床见习：组织学生到医院相关科室见习，如在循环系统教学后，安排学生到心内科，观察医生如何诊断和治疗心血管疾病，增强学生对知识的实际应用能力。</w:t>
      </w:r>
    </w:p>
    <w:p w14:paraId="45F62E5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2.多元化教学方法</w:t>
      </w:r>
    </w:p>
    <w:p w14:paraId="0D4B3F0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案例教学：引入大量临床案例，让学生分组讨论分析。比如在讲解内分泌系统时，给出糖尿病患者的病例，让学生运用所学知识分析病因、症状及治疗方案。</w:t>
      </w:r>
    </w:p>
    <w:p w14:paraId="6AA773E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多媒体教学：利用动画、视频等多媒体资源，将抽象的生理过程直观化。如用动画展示神经冲动的传导过程，帮助学生理解复杂的神经系统知识。</w:t>
      </w:r>
    </w:p>
    <w:p w14:paraId="3F58403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3.个性化教学</w:t>
      </w:r>
    </w:p>
    <w:p w14:paraId="7E78069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分层教学：根据学生的学习能力和基础，进行分层教学。对于基础薄弱的学生，加强基础知识的辅导；对于学有余力的学生，提供拓展性学习内容，如前沿的医学研究成果。</w:t>
      </w:r>
    </w:p>
    <w:p w14:paraId="77B3518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小组合作学习：将学生分成小组，共同完成学习任务，培养学生的团队协作能力和沟通能力。例如在血液系统教学中，让小组合作完成一份关于血液疾病的调查报告。</w:t>
      </w:r>
    </w:p>
    <w:p w14:paraId="7FD107A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4.考核评价多元化</w:t>
      </w:r>
    </w:p>
    <w:p w14:paraId="77E007C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过程性评价：增加平时成绩的比重，包括课堂表现、作业完成情况、实验操作等。例如记录学生在实验课上的操作规范程度和参与度。</w:t>
      </w:r>
    </w:p>
    <w:p w14:paraId="7C0CABA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实践考核：除了理论考试，设置实践考核环节，如让学生在模拟场景中进行血压测量、病例分析等，全面评估学生的知识掌握和应用能力。</w:t>
      </w:r>
    </w:p>
    <w:p w14:paraId="0689255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p>
    <w:p w14:paraId="3454620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p>
    <w:p w14:paraId="6421669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p>
    <w:p w14:paraId="5CC2756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五、教学进度安排</w:t>
      </w:r>
    </w:p>
    <w:p w14:paraId="12C5D69E">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856AD40">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333E1E24">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5A475885">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4098666">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6CA70A4">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教学进度表</w:t>
      </w:r>
    </w:p>
    <w:tbl>
      <w:tblPr>
        <w:tblStyle w:val="6"/>
        <w:tblW w:w="9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1662"/>
        <w:gridCol w:w="5115"/>
        <w:gridCol w:w="1140"/>
      </w:tblGrid>
      <w:tr w14:paraId="4FC9D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6727904E">
            <w:pPr>
              <w:jc w:val="cente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sz w:val="28"/>
                <w:szCs w:val="28"/>
              </w:rPr>
              <w:t>周次</w:t>
            </w:r>
          </w:p>
        </w:tc>
        <w:tc>
          <w:tcPr>
            <w:tcW w:w="1662" w:type="dxa"/>
            <w:vAlign w:val="center"/>
          </w:tcPr>
          <w:p w14:paraId="1A9787AB">
            <w:pPr>
              <w:widowControl/>
              <w:jc w:val="center"/>
              <w:rPr>
                <w:rFonts w:hint="default" w:ascii="Times New Roman" w:hAnsi="Times New Roman" w:eastAsia="宋体" w:cs="Times New Roman"/>
                <w:b/>
                <w:kern w:val="0"/>
                <w:sz w:val="22"/>
                <w:szCs w:val="22"/>
                <w:lang w:val="en-US" w:eastAsia="zh-CN" w:bidi="ar-SA"/>
              </w:rPr>
            </w:pPr>
          </w:p>
        </w:tc>
        <w:tc>
          <w:tcPr>
            <w:tcW w:w="5115" w:type="dxa"/>
            <w:vAlign w:val="center"/>
          </w:tcPr>
          <w:p w14:paraId="3B992767">
            <w:pPr>
              <w:jc w:val="cente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sz w:val="28"/>
                <w:szCs w:val="28"/>
              </w:rPr>
              <w:t>教材章节内容</w:t>
            </w:r>
          </w:p>
        </w:tc>
        <w:tc>
          <w:tcPr>
            <w:tcW w:w="1140" w:type="dxa"/>
            <w:vAlign w:val="center"/>
          </w:tcPr>
          <w:p w14:paraId="54D38E9E">
            <w:pPr>
              <w:jc w:val="cente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sz w:val="28"/>
                <w:szCs w:val="28"/>
              </w:rPr>
              <w:t>课时</w:t>
            </w:r>
          </w:p>
        </w:tc>
      </w:tr>
      <w:tr w14:paraId="3FD19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0359226F">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第一周</w:t>
            </w:r>
          </w:p>
        </w:tc>
        <w:tc>
          <w:tcPr>
            <w:tcW w:w="1662" w:type="dxa"/>
            <w:vAlign w:val="center"/>
          </w:tcPr>
          <w:p w14:paraId="5D90FB2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415EA10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第五章泌尿系统</w:t>
            </w:r>
          </w:p>
        </w:tc>
        <w:tc>
          <w:tcPr>
            <w:tcW w:w="1140" w:type="dxa"/>
            <w:vAlign w:val="center"/>
          </w:tcPr>
          <w:p w14:paraId="0B9CAB8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764B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4D441BCA">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第二周</w:t>
            </w:r>
          </w:p>
        </w:tc>
        <w:tc>
          <w:tcPr>
            <w:tcW w:w="1662" w:type="dxa"/>
            <w:vAlign w:val="center"/>
          </w:tcPr>
          <w:p w14:paraId="38858A7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57525FF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第五章泌尿系统</w:t>
            </w:r>
          </w:p>
        </w:tc>
        <w:tc>
          <w:tcPr>
            <w:tcW w:w="1140" w:type="dxa"/>
            <w:vAlign w:val="center"/>
          </w:tcPr>
          <w:p w14:paraId="549CCA9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758B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2CF86F78">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第三周</w:t>
            </w:r>
          </w:p>
        </w:tc>
        <w:tc>
          <w:tcPr>
            <w:tcW w:w="1662" w:type="dxa"/>
            <w:vAlign w:val="center"/>
          </w:tcPr>
          <w:p w14:paraId="17AC039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71E4591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第五章泌尿系统</w:t>
            </w:r>
            <w:r>
              <w:rPr>
                <w:rFonts w:hint="eastAsia" w:ascii="Times New Roman" w:hAnsi="Times New Roman" w:eastAsia="仿宋" w:cs="Times New Roman"/>
                <w:b w:val="0"/>
                <w:bCs w:val="0"/>
                <w:sz w:val="28"/>
                <w:szCs w:val="28"/>
                <w:vertAlign w:val="baseline"/>
                <w:lang w:val="en-US" w:eastAsia="zh-CN"/>
              </w:rPr>
              <w:t>、</w:t>
            </w:r>
            <w:r>
              <w:rPr>
                <w:rFonts w:hint="default" w:ascii="Times New Roman" w:hAnsi="Times New Roman" w:eastAsia="仿宋" w:cs="Times New Roman"/>
                <w:b w:val="0"/>
                <w:bCs w:val="0"/>
                <w:sz w:val="28"/>
                <w:szCs w:val="28"/>
                <w:vertAlign w:val="baseline"/>
                <w:lang w:val="en-US" w:eastAsia="zh-CN"/>
              </w:rPr>
              <w:t>第六章生殖系统</w:t>
            </w:r>
          </w:p>
        </w:tc>
        <w:tc>
          <w:tcPr>
            <w:tcW w:w="1140" w:type="dxa"/>
            <w:vAlign w:val="center"/>
          </w:tcPr>
          <w:p w14:paraId="3204CCD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5E55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23CF1600">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第四周</w:t>
            </w:r>
          </w:p>
        </w:tc>
        <w:tc>
          <w:tcPr>
            <w:tcW w:w="1662" w:type="dxa"/>
            <w:vAlign w:val="center"/>
          </w:tcPr>
          <w:p w14:paraId="7EADAE8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7C88528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第六章生殖系统</w:t>
            </w:r>
          </w:p>
        </w:tc>
        <w:tc>
          <w:tcPr>
            <w:tcW w:w="1140" w:type="dxa"/>
            <w:vAlign w:val="center"/>
          </w:tcPr>
          <w:p w14:paraId="1055573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B15D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53F46817">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第五周</w:t>
            </w:r>
          </w:p>
        </w:tc>
        <w:tc>
          <w:tcPr>
            <w:tcW w:w="1662" w:type="dxa"/>
            <w:vAlign w:val="center"/>
          </w:tcPr>
          <w:p w14:paraId="1525F04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35F54B7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第六章生殖系统</w:t>
            </w:r>
          </w:p>
        </w:tc>
        <w:tc>
          <w:tcPr>
            <w:tcW w:w="1140" w:type="dxa"/>
            <w:vAlign w:val="center"/>
          </w:tcPr>
          <w:p w14:paraId="58EF049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4037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23660DB1">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第六周</w:t>
            </w:r>
          </w:p>
        </w:tc>
        <w:tc>
          <w:tcPr>
            <w:tcW w:w="1662" w:type="dxa"/>
            <w:vAlign w:val="center"/>
          </w:tcPr>
          <w:p w14:paraId="59CC89A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31F7A91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第六章生殖系统</w:t>
            </w:r>
            <w:r>
              <w:rPr>
                <w:rFonts w:hint="eastAsia" w:ascii="Times New Roman" w:hAnsi="Times New Roman" w:eastAsia="仿宋" w:cs="Times New Roman"/>
                <w:b w:val="0"/>
                <w:bCs w:val="0"/>
                <w:sz w:val="28"/>
                <w:szCs w:val="28"/>
                <w:vertAlign w:val="baseline"/>
                <w:lang w:val="en-US" w:eastAsia="zh-CN"/>
              </w:rPr>
              <w:t>、</w:t>
            </w:r>
            <w:r>
              <w:rPr>
                <w:rFonts w:hint="default" w:ascii="Times New Roman" w:hAnsi="Times New Roman" w:eastAsia="仿宋" w:cs="Times New Roman"/>
                <w:b w:val="0"/>
                <w:bCs w:val="0"/>
                <w:sz w:val="28"/>
                <w:szCs w:val="28"/>
                <w:vertAlign w:val="baseline"/>
                <w:lang w:val="en-US" w:eastAsia="zh-CN"/>
              </w:rPr>
              <w:t>第七章能量代谢和体温</w:t>
            </w:r>
          </w:p>
        </w:tc>
        <w:tc>
          <w:tcPr>
            <w:tcW w:w="1140" w:type="dxa"/>
            <w:vAlign w:val="center"/>
          </w:tcPr>
          <w:p w14:paraId="19F14A9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23DF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1C2C7002">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第七周</w:t>
            </w:r>
          </w:p>
        </w:tc>
        <w:tc>
          <w:tcPr>
            <w:tcW w:w="1662" w:type="dxa"/>
            <w:vAlign w:val="center"/>
          </w:tcPr>
          <w:p w14:paraId="660F534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209BAF2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sz w:val="28"/>
                <w:szCs w:val="28"/>
                <w:vertAlign w:val="baseline"/>
                <w:lang w:val="en-US" w:eastAsia="zh-CN"/>
              </w:rPr>
              <w:t>第七章能量代谢和体温</w:t>
            </w:r>
          </w:p>
        </w:tc>
        <w:tc>
          <w:tcPr>
            <w:tcW w:w="1140" w:type="dxa"/>
            <w:vAlign w:val="center"/>
          </w:tcPr>
          <w:p w14:paraId="1F18F83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DDF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754CADD5">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第八周</w:t>
            </w:r>
          </w:p>
        </w:tc>
        <w:tc>
          <w:tcPr>
            <w:tcW w:w="1662" w:type="dxa"/>
            <w:vAlign w:val="center"/>
          </w:tcPr>
          <w:p w14:paraId="7F5BD16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1FA8F3A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sz w:val="28"/>
                <w:szCs w:val="28"/>
                <w:vertAlign w:val="baseline"/>
                <w:lang w:val="en-US" w:eastAsia="zh-CN"/>
              </w:rPr>
              <w:t>第七章能量代谢和体温</w:t>
            </w:r>
            <w:r>
              <w:rPr>
                <w:rFonts w:hint="eastAsia" w:ascii="Times New Roman" w:hAnsi="Times New Roman" w:eastAsia="仿宋" w:cs="Times New Roman"/>
                <w:b w:val="0"/>
                <w:bCs w:val="0"/>
                <w:sz w:val="28"/>
                <w:szCs w:val="28"/>
                <w:vertAlign w:val="baseline"/>
                <w:lang w:val="en-US" w:eastAsia="zh-CN"/>
              </w:rPr>
              <w:t>、</w:t>
            </w:r>
            <w:r>
              <w:rPr>
                <w:rFonts w:hint="default" w:ascii="Times New Roman" w:hAnsi="Times New Roman" w:eastAsia="仿宋" w:cs="Times New Roman"/>
                <w:b w:val="0"/>
                <w:bCs w:val="0"/>
                <w:sz w:val="28"/>
                <w:szCs w:val="28"/>
                <w:vertAlign w:val="baseline"/>
                <w:lang w:val="en-US" w:eastAsia="zh-CN"/>
              </w:rPr>
              <w:t>第八章血液</w:t>
            </w:r>
          </w:p>
        </w:tc>
        <w:tc>
          <w:tcPr>
            <w:tcW w:w="1140" w:type="dxa"/>
            <w:vAlign w:val="center"/>
          </w:tcPr>
          <w:p w14:paraId="2605304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A902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5DA19F97">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第九周</w:t>
            </w:r>
          </w:p>
        </w:tc>
        <w:tc>
          <w:tcPr>
            <w:tcW w:w="1662" w:type="dxa"/>
            <w:vAlign w:val="center"/>
          </w:tcPr>
          <w:p w14:paraId="4571B6A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3623DB6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sz w:val="28"/>
                <w:szCs w:val="28"/>
                <w:vertAlign w:val="baseline"/>
                <w:lang w:val="en-US" w:eastAsia="zh-CN"/>
              </w:rPr>
              <w:t>第八章血液</w:t>
            </w:r>
          </w:p>
        </w:tc>
        <w:tc>
          <w:tcPr>
            <w:tcW w:w="1140" w:type="dxa"/>
            <w:vAlign w:val="center"/>
          </w:tcPr>
          <w:p w14:paraId="7BDE050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4</w:t>
            </w:r>
          </w:p>
        </w:tc>
      </w:tr>
      <w:tr w14:paraId="23B1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4263008F">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第十周</w:t>
            </w:r>
          </w:p>
        </w:tc>
        <w:tc>
          <w:tcPr>
            <w:tcW w:w="1662" w:type="dxa"/>
            <w:vAlign w:val="center"/>
          </w:tcPr>
          <w:p w14:paraId="0711C92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7AA69DE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sz w:val="28"/>
                <w:szCs w:val="28"/>
                <w:vertAlign w:val="baseline"/>
                <w:lang w:val="en-US" w:eastAsia="zh-CN"/>
              </w:rPr>
              <w:t>第八章血液</w:t>
            </w:r>
          </w:p>
        </w:tc>
        <w:tc>
          <w:tcPr>
            <w:tcW w:w="1140" w:type="dxa"/>
            <w:vAlign w:val="center"/>
          </w:tcPr>
          <w:p w14:paraId="69BD0DA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6168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16A0DDB4">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第十一周</w:t>
            </w:r>
          </w:p>
        </w:tc>
        <w:tc>
          <w:tcPr>
            <w:tcW w:w="1662" w:type="dxa"/>
            <w:vAlign w:val="center"/>
          </w:tcPr>
          <w:p w14:paraId="107E2B3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56FCF2A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第八章血液</w:t>
            </w:r>
            <w:r>
              <w:rPr>
                <w:rFonts w:hint="eastAsia" w:ascii="Times New Roman" w:hAnsi="Times New Roman" w:eastAsia="仿宋" w:cs="Times New Roman"/>
                <w:b w:val="0"/>
                <w:bCs w:val="0"/>
                <w:sz w:val="28"/>
                <w:szCs w:val="28"/>
                <w:vertAlign w:val="baseline"/>
                <w:lang w:val="en-US" w:eastAsia="zh-CN"/>
              </w:rPr>
              <w:t>、</w:t>
            </w:r>
            <w:r>
              <w:rPr>
                <w:rFonts w:hint="default" w:ascii="Times New Roman" w:hAnsi="Times New Roman" w:eastAsia="仿宋" w:cs="Times New Roman"/>
                <w:b w:val="0"/>
                <w:bCs w:val="0"/>
                <w:kern w:val="2"/>
                <w:sz w:val="28"/>
                <w:szCs w:val="28"/>
                <w:vertAlign w:val="baseline"/>
                <w:lang w:val="en-US" w:eastAsia="zh-CN" w:bidi="ar-SA"/>
              </w:rPr>
              <w:t>第九章循环系统</w:t>
            </w:r>
          </w:p>
        </w:tc>
        <w:tc>
          <w:tcPr>
            <w:tcW w:w="1140" w:type="dxa"/>
            <w:vAlign w:val="center"/>
          </w:tcPr>
          <w:p w14:paraId="263C1C5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6711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4687C4FF">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第十二周</w:t>
            </w:r>
          </w:p>
        </w:tc>
        <w:tc>
          <w:tcPr>
            <w:tcW w:w="1662" w:type="dxa"/>
            <w:vAlign w:val="center"/>
          </w:tcPr>
          <w:p w14:paraId="719C4BC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26A0267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kern w:val="2"/>
                <w:sz w:val="28"/>
                <w:szCs w:val="28"/>
                <w:vertAlign w:val="baseline"/>
                <w:lang w:val="en-US" w:eastAsia="zh-CN" w:bidi="ar-SA"/>
              </w:rPr>
              <w:t>第九章循环系统</w:t>
            </w:r>
          </w:p>
        </w:tc>
        <w:tc>
          <w:tcPr>
            <w:tcW w:w="1140" w:type="dxa"/>
            <w:vAlign w:val="center"/>
          </w:tcPr>
          <w:p w14:paraId="31C2FB8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1CBBA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580930EA">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第十三周</w:t>
            </w:r>
          </w:p>
        </w:tc>
        <w:tc>
          <w:tcPr>
            <w:tcW w:w="1662" w:type="dxa"/>
            <w:vAlign w:val="center"/>
          </w:tcPr>
          <w:p w14:paraId="644F8B6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688CBDB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kern w:val="2"/>
                <w:sz w:val="28"/>
                <w:szCs w:val="28"/>
                <w:vertAlign w:val="baseline"/>
                <w:lang w:val="en-US" w:eastAsia="zh-CN" w:bidi="ar-SA"/>
              </w:rPr>
              <w:t>第九章循环系统</w:t>
            </w:r>
          </w:p>
        </w:tc>
        <w:tc>
          <w:tcPr>
            <w:tcW w:w="1140" w:type="dxa"/>
            <w:vAlign w:val="center"/>
          </w:tcPr>
          <w:p w14:paraId="25B664B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6A05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68B7EB88">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第十四周</w:t>
            </w:r>
          </w:p>
        </w:tc>
        <w:tc>
          <w:tcPr>
            <w:tcW w:w="1662" w:type="dxa"/>
            <w:vAlign w:val="center"/>
          </w:tcPr>
          <w:p w14:paraId="00E278F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4D591F1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kern w:val="2"/>
                <w:sz w:val="28"/>
                <w:szCs w:val="28"/>
                <w:vertAlign w:val="baseline"/>
                <w:lang w:val="en-US" w:eastAsia="zh-CN" w:bidi="ar-SA"/>
              </w:rPr>
              <w:t>第九章循环系统</w:t>
            </w:r>
            <w:r>
              <w:rPr>
                <w:rFonts w:hint="eastAsia" w:ascii="Times New Roman" w:hAnsi="Times New Roman" w:eastAsia="仿宋" w:cs="Times New Roman"/>
                <w:b w:val="0"/>
                <w:bCs w:val="0"/>
                <w:kern w:val="2"/>
                <w:sz w:val="28"/>
                <w:szCs w:val="28"/>
                <w:vertAlign w:val="baseline"/>
                <w:lang w:val="en-US" w:eastAsia="zh-CN" w:bidi="ar-SA"/>
              </w:rPr>
              <w:t>、</w:t>
            </w:r>
            <w:r>
              <w:rPr>
                <w:rFonts w:hint="eastAsia" w:ascii="Times New Roman" w:hAnsi="Times New Roman" w:eastAsia="仿宋" w:cs="Times New Roman"/>
                <w:b w:val="0"/>
                <w:bCs w:val="0"/>
                <w:sz w:val="28"/>
                <w:szCs w:val="28"/>
                <w:vertAlign w:val="baseline"/>
                <w:lang w:val="en-US" w:eastAsia="zh-CN"/>
              </w:rPr>
              <w:t>第十章内分泌系统</w:t>
            </w:r>
          </w:p>
        </w:tc>
        <w:tc>
          <w:tcPr>
            <w:tcW w:w="1140" w:type="dxa"/>
            <w:vAlign w:val="center"/>
          </w:tcPr>
          <w:p w14:paraId="710B090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4BD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074E0168">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第十五周</w:t>
            </w:r>
          </w:p>
        </w:tc>
        <w:tc>
          <w:tcPr>
            <w:tcW w:w="1662" w:type="dxa"/>
            <w:vAlign w:val="center"/>
          </w:tcPr>
          <w:p w14:paraId="0937A08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56A0D86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sz w:val="28"/>
                <w:szCs w:val="28"/>
                <w:vertAlign w:val="baseline"/>
                <w:lang w:val="en-US" w:eastAsia="zh-CN"/>
              </w:rPr>
              <w:t>第十章内分泌系统</w:t>
            </w:r>
          </w:p>
        </w:tc>
        <w:tc>
          <w:tcPr>
            <w:tcW w:w="1140" w:type="dxa"/>
            <w:vAlign w:val="center"/>
          </w:tcPr>
          <w:p w14:paraId="2AE0107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3</w:t>
            </w:r>
          </w:p>
        </w:tc>
      </w:tr>
      <w:tr w14:paraId="3BC4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12750FB1">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第十六周</w:t>
            </w:r>
          </w:p>
        </w:tc>
        <w:tc>
          <w:tcPr>
            <w:tcW w:w="1662" w:type="dxa"/>
            <w:vAlign w:val="center"/>
          </w:tcPr>
          <w:p w14:paraId="0880337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0D72D86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sz w:val="28"/>
                <w:szCs w:val="28"/>
                <w:vertAlign w:val="baseline"/>
                <w:lang w:val="en-US" w:eastAsia="zh-CN"/>
              </w:rPr>
              <w:t>第十章内分泌系统</w:t>
            </w:r>
          </w:p>
        </w:tc>
        <w:tc>
          <w:tcPr>
            <w:tcW w:w="1140" w:type="dxa"/>
            <w:vAlign w:val="center"/>
          </w:tcPr>
          <w:p w14:paraId="7D52123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38AE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3727DB4A">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第十七周</w:t>
            </w:r>
          </w:p>
        </w:tc>
        <w:tc>
          <w:tcPr>
            <w:tcW w:w="1662" w:type="dxa"/>
            <w:vAlign w:val="center"/>
          </w:tcPr>
          <w:p w14:paraId="73D227C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72F981A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sz w:val="28"/>
                <w:szCs w:val="28"/>
                <w:vertAlign w:val="baseline"/>
                <w:lang w:val="en-US" w:eastAsia="zh-CN"/>
              </w:rPr>
              <w:t>第十章内分泌系统、</w:t>
            </w:r>
            <w:r>
              <w:rPr>
                <w:rFonts w:hint="eastAsia" w:ascii="Times New Roman" w:hAnsi="Times New Roman" w:eastAsia="仿宋" w:cs="Times New Roman"/>
                <w:b w:val="0"/>
                <w:bCs w:val="0"/>
                <w:kern w:val="2"/>
                <w:sz w:val="28"/>
                <w:szCs w:val="28"/>
                <w:vertAlign w:val="baseline"/>
                <w:lang w:val="en-US" w:eastAsia="zh-CN" w:bidi="ar-SA"/>
              </w:rPr>
              <w:t>第十一章感觉器官</w:t>
            </w:r>
          </w:p>
        </w:tc>
        <w:tc>
          <w:tcPr>
            <w:tcW w:w="1140" w:type="dxa"/>
            <w:vAlign w:val="center"/>
          </w:tcPr>
          <w:p w14:paraId="1AF7010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32AE4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34F21B6B">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第十八周</w:t>
            </w:r>
          </w:p>
        </w:tc>
        <w:tc>
          <w:tcPr>
            <w:tcW w:w="1662" w:type="dxa"/>
            <w:vAlign w:val="center"/>
          </w:tcPr>
          <w:p w14:paraId="05E031E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76EB2FA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kern w:val="2"/>
                <w:sz w:val="28"/>
                <w:szCs w:val="28"/>
                <w:vertAlign w:val="baseline"/>
                <w:lang w:val="en-US" w:eastAsia="zh-CN" w:bidi="ar-SA"/>
              </w:rPr>
              <w:t>第十一章感觉器官</w:t>
            </w:r>
          </w:p>
        </w:tc>
        <w:tc>
          <w:tcPr>
            <w:tcW w:w="1140" w:type="dxa"/>
            <w:vAlign w:val="center"/>
          </w:tcPr>
          <w:p w14:paraId="70C111D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3</w:t>
            </w:r>
          </w:p>
        </w:tc>
      </w:tr>
      <w:tr w14:paraId="2935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32CF440E">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第十九周</w:t>
            </w:r>
          </w:p>
        </w:tc>
        <w:tc>
          <w:tcPr>
            <w:tcW w:w="1662" w:type="dxa"/>
            <w:vAlign w:val="center"/>
          </w:tcPr>
          <w:p w14:paraId="02FC05E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3C33D90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kern w:val="2"/>
                <w:sz w:val="28"/>
                <w:szCs w:val="28"/>
                <w:vertAlign w:val="baseline"/>
                <w:lang w:val="en-US" w:eastAsia="zh-CN" w:bidi="ar-SA"/>
              </w:rPr>
              <w:t>第十一章感觉器官、第十二章神经系统</w:t>
            </w:r>
          </w:p>
        </w:tc>
        <w:tc>
          <w:tcPr>
            <w:tcW w:w="1140" w:type="dxa"/>
            <w:vAlign w:val="center"/>
          </w:tcPr>
          <w:p w14:paraId="42FE774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BEF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35B7DCB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color w:val="auto"/>
                <w:sz w:val="28"/>
                <w:szCs w:val="28"/>
                <w:vertAlign w:val="baseline"/>
                <w:lang w:val="en-US" w:eastAsia="zh-CN"/>
              </w:rPr>
            </w:pPr>
            <w:r>
              <w:rPr>
                <w:rFonts w:hint="default" w:ascii="Times New Roman" w:hAnsi="Times New Roman" w:eastAsia="仿宋" w:cs="Times New Roman"/>
                <w:b w:val="0"/>
                <w:bCs w:val="0"/>
                <w:color w:val="auto"/>
                <w:sz w:val="28"/>
                <w:szCs w:val="28"/>
                <w:vertAlign w:val="baseline"/>
                <w:lang w:val="en-US" w:eastAsia="zh-CN"/>
              </w:rPr>
              <w:t>第二十周</w:t>
            </w:r>
          </w:p>
        </w:tc>
        <w:tc>
          <w:tcPr>
            <w:tcW w:w="1662" w:type="dxa"/>
            <w:vAlign w:val="center"/>
          </w:tcPr>
          <w:p w14:paraId="61B97D5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tbl>
            <w:tblPr>
              <w:tblStyle w:val="6"/>
              <w:tblW w:w="9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5"/>
            </w:tblGrid>
            <w:tr w14:paraId="790E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5115" w:type="dxa"/>
                  <w:vAlign w:val="center"/>
                </w:tcPr>
                <w:p w14:paraId="2B1C08F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kern w:val="2"/>
                      <w:sz w:val="28"/>
                      <w:szCs w:val="28"/>
                      <w:vertAlign w:val="baseline"/>
                      <w:lang w:val="en-US" w:eastAsia="zh-CN" w:bidi="ar-SA"/>
                    </w:rPr>
                    <w:t>第十二章神经系统</w:t>
                  </w:r>
                </w:p>
              </w:tc>
            </w:tr>
          </w:tbl>
          <w:p w14:paraId="61076BD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p>
        </w:tc>
        <w:tc>
          <w:tcPr>
            <w:tcW w:w="1140" w:type="dxa"/>
            <w:vAlign w:val="center"/>
          </w:tcPr>
          <w:p w14:paraId="080DD14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55F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319B01B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color w:val="auto"/>
                <w:sz w:val="28"/>
                <w:szCs w:val="28"/>
                <w:vertAlign w:val="baseline"/>
                <w:lang w:val="en-US" w:eastAsia="zh-CN"/>
              </w:rPr>
            </w:pPr>
            <w:r>
              <w:rPr>
                <w:rFonts w:hint="default" w:ascii="Times New Roman" w:hAnsi="Times New Roman" w:eastAsia="仿宋" w:cs="Times New Roman"/>
                <w:b w:val="0"/>
                <w:bCs w:val="0"/>
                <w:color w:val="auto"/>
                <w:sz w:val="28"/>
                <w:szCs w:val="28"/>
                <w:vertAlign w:val="baseline"/>
                <w:lang w:val="en-US" w:eastAsia="zh-CN"/>
              </w:rPr>
              <w:t>第二十一周</w:t>
            </w:r>
          </w:p>
        </w:tc>
        <w:tc>
          <w:tcPr>
            <w:tcW w:w="1662" w:type="dxa"/>
            <w:vAlign w:val="center"/>
          </w:tcPr>
          <w:p w14:paraId="7DF78B5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6E2A4DC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期末复习</w:t>
            </w:r>
          </w:p>
        </w:tc>
        <w:tc>
          <w:tcPr>
            <w:tcW w:w="1140" w:type="dxa"/>
            <w:vAlign w:val="center"/>
          </w:tcPr>
          <w:p w14:paraId="22E2B17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bl>
    <w:p w14:paraId="36C18772">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p>
    <w:p w14:paraId="528FF200">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07D6A6D4">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4407774C">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4C952524">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8847D"/>
    <w:multiLevelType w:val="singleLevel"/>
    <w:tmpl w:val="A9D884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0OTMxYjlhYjNjMGVlNDU5OTNhZWYwOTlmOTk3M2EifQ=="/>
    <w:docVar w:name="KSO_WPS_MARK_KEY" w:val="0bb7a70b-57c4-480e-8e88-c753ccbeaa66"/>
  </w:docVars>
  <w:rsids>
    <w:rsidRoot w:val="00000000"/>
    <w:rsid w:val="1A9235A2"/>
    <w:rsid w:val="21977D42"/>
    <w:rsid w:val="2E7E327F"/>
    <w:rsid w:val="3DAB5FAB"/>
    <w:rsid w:val="4826706B"/>
    <w:rsid w:val="559546C5"/>
    <w:rsid w:val="59623FD6"/>
    <w:rsid w:val="64E62E85"/>
    <w:rsid w:val="734E65F8"/>
    <w:rsid w:val="75507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2784</Words>
  <Characters>2801</Characters>
  <Paragraphs>158</Paragraphs>
  <TotalTime>16</TotalTime>
  <ScaleCrop>false</ScaleCrop>
  <LinksUpToDate>false</LinksUpToDate>
  <CharactersWithSpaces>2817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菲</cp:lastModifiedBy>
  <cp:lastPrinted>2024-09-24T00:25:00Z</cp:lastPrinted>
  <dcterms:modified xsi:type="dcterms:W3CDTF">2025-02-16T08:21:48Z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32F1E6B921EE4724A01995342F7D7DB9_13</vt:lpwstr>
  </property>
  <property fmtid="{D5CDD505-2E9C-101B-9397-08002B2CF9AE}" pid="4" name="KSOTemplateDocerSaveRecord">
    <vt:lpwstr>eyJoZGlkIjoiNDE5MTVkZTU5MWE5ODE0NzViNGNhMWJlZGQxODE1NTMiLCJ1c2VySWQiOiI1NTkxNDE3ODEifQ==</vt:lpwstr>
  </property>
</Properties>
</file>