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87602">
      <w:pPr>
        <w:jc w:val="center"/>
        <w:rPr>
          <w:rFonts w:hint="eastAsia" w:ascii="黑体" w:hAnsi="黑体" w:eastAsia="黑体"/>
          <w:sz w:val="44"/>
          <w:szCs w:val="44"/>
        </w:rPr>
      </w:pPr>
      <w:r>
        <w:rPr>
          <w:rFonts w:hint="eastAsia" w:ascii="黑体" w:hAnsi="黑体" w:eastAsia="黑体"/>
          <w:sz w:val="44"/>
          <w:szCs w:val="44"/>
        </w:rPr>
        <w:t>聊城市特殊教育学校</w:t>
      </w:r>
    </w:p>
    <w:p w14:paraId="298ED96D">
      <w:pPr>
        <w:jc w:val="center"/>
        <w:rPr>
          <w:rFonts w:ascii="仿宋" w:hAnsi="仿宋" w:eastAsia="仿宋"/>
          <w:b/>
          <w:sz w:val="32"/>
          <w:szCs w:val="32"/>
        </w:rPr>
      </w:pPr>
      <w:r>
        <w:rPr>
          <w:rFonts w:hint="eastAsia" w:ascii="仿宋" w:hAnsi="仿宋" w:eastAsia="仿宋"/>
          <w:b/>
          <w:sz w:val="32"/>
          <w:szCs w:val="32"/>
        </w:rPr>
        <w:t>20</w:t>
      </w:r>
      <w:r>
        <w:rPr>
          <w:rFonts w:hint="eastAsia" w:ascii="仿宋" w:hAnsi="仿宋" w:eastAsia="仿宋"/>
          <w:b/>
          <w:sz w:val="32"/>
          <w:szCs w:val="32"/>
          <w:lang w:val="en-US" w:eastAsia="zh-CN"/>
        </w:rPr>
        <w:t>24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 xml:space="preserve">25 </w:t>
      </w:r>
      <w:r>
        <w:rPr>
          <w:rFonts w:hint="eastAsia" w:ascii="仿宋" w:hAnsi="仿宋" w:eastAsia="仿宋"/>
          <w:b/>
          <w:sz w:val="32"/>
          <w:szCs w:val="32"/>
        </w:rPr>
        <w:t>年度第</w:t>
      </w:r>
      <w:r>
        <w:rPr>
          <w:rFonts w:ascii="仿宋" w:hAnsi="仿宋" w:eastAsia="仿宋"/>
          <w:b/>
          <w:sz w:val="32"/>
          <w:szCs w:val="32"/>
        </w:rPr>
        <w:t xml:space="preserve"> </w:t>
      </w:r>
      <w:r>
        <w:rPr>
          <w:rFonts w:hint="eastAsia" w:ascii="仿宋" w:hAnsi="仿宋" w:eastAsia="仿宋"/>
          <w:b/>
          <w:sz w:val="32"/>
          <w:szCs w:val="32"/>
          <w:lang w:val="en-US" w:eastAsia="zh-CN"/>
        </w:rPr>
        <w:t xml:space="preserve">二 </w:t>
      </w:r>
      <w:r>
        <w:rPr>
          <w:rFonts w:hint="eastAsia" w:ascii="仿宋" w:hAnsi="仿宋" w:eastAsia="仿宋"/>
          <w:b/>
          <w:sz w:val="32"/>
          <w:szCs w:val="32"/>
        </w:rPr>
        <w:t>学期教学计划</w:t>
      </w:r>
    </w:p>
    <w:p w14:paraId="71756AEA">
      <w:pPr>
        <w:jc w:val="both"/>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w:t>
      </w:r>
      <w:r>
        <w:rPr>
          <w:rFonts w:hint="eastAsia" w:ascii="楷体" w:hAnsi="楷体" w:eastAsia="楷体" w:cs="楷体"/>
          <w:sz w:val="32"/>
          <w:szCs w:val="32"/>
          <w:lang w:val="en-US" w:eastAsia="zh-CN"/>
        </w:rPr>
        <w:t>听障七年级</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科目：</w:t>
      </w:r>
      <w:r>
        <w:rPr>
          <w:rFonts w:hint="eastAsia" w:ascii="楷体" w:hAnsi="楷体" w:eastAsia="楷体" w:cs="楷体"/>
          <w:sz w:val="32"/>
          <w:szCs w:val="32"/>
          <w:lang w:val="en-US" w:eastAsia="zh-CN"/>
        </w:rPr>
        <w:t>信息技术</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教师： </w:t>
      </w:r>
      <w:r>
        <w:rPr>
          <w:rFonts w:hint="eastAsia" w:ascii="楷体" w:hAnsi="楷体" w:eastAsia="楷体" w:cs="楷体"/>
          <w:sz w:val="32"/>
          <w:szCs w:val="32"/>
          <w:lang w:val="en-US" w:eastAsia="zh-CN"/>
        </w:rPr>
        <w:t>潘燕</w:t>
      </w:r>
      <w:r>
        <w:rPr>
          <w:rFonts w:hint="eastAsia" w:ascii="仿宋" w:hAnsi="仿宋" w:eastAsia="仿宋"/>
          <w:sz w:val="32"/>
          <w:szCs w:val="32"/>
        </w:rPr>
        <w:t xml:space="preserve">      </w:t>
      </w:r>
    </w:p>
    <w:p w14:paraId="54680E58">
      <w:pPr>
        <w:pStyle w:val="11"/>
        <w:numPr>
          <w:ilvl w:val="0"/>
          <w:numId w:val="1"/>
        </w:numPr>
        <w:ind w:firstLineChars="0"/>
        <w:jc w:val="left"/>
        <w:rPr>
          <w:rFonts w:hint="eastAsia" w:ascii="楷体" w:hAnsi="楷体" w:eastAsia="楷体"/>
          <w:b/>
          <w:sz w:val="28"/>
          <w:szCs w:val="28"/>
        </w:rPr>
      </w:pPr>
      <w:r>
        <w:rPr>
          <w:rFonts w:hint="eastAsia" w:ascii="楷体" w:hAnsi="楷体" w:eastAsia="楷体"/>
          <w:b/>
          <w:sz w:val="28"/>
          <w:szCs w:val="28"/>
        </w:rPr>
        <w:t>学情分析</w:t>
      </w:r>
    </w:p>
    <w:p w14:paraId="1174FFE2">
      <w:pPr>
        <w:widowControl/>
        <w:shd w:val="clear" w:color="auto" w:fill="FFFFFF"/>
        <w:spacing w:line="480" w:lineRule="exact"/>
        <w:ind w:firstLine="482"/>
        <w:jc w:val="left"/>
        <w:rPr>
          <w:rFonts w:ascii="楷体" w:hAnsi="楷体" w:eastAsia="楷体" w:cs="Tahoma"/>
          <w:color w:val="000000"/>
          <w:kern w:val="0"/>
          <w:sz w:val="24"/>
        </w:rPr>
      </w:pPr>
      <w:r>
        <w:rPr>
          <w:rFonts w:hint="eastAsia" w:ascii="楷体" w:hAnsi="楷体" w:eastAsia="楷体"/>
          <w:sz w:val="28"/>
          <w:szCs w:val="28"/>
          <w:lang w:val="en-US" w:eastAsia="zh-CN"/>
        </w:rPr>
        <w:t>听障七</w:t>
      </w:r>
      <w:r>
        <w:rPr>
          <w:rFonts w:hint="eastAsia" w:ascii="楷体" w:hAnsi="楷体" w:eastAsia="楷体"/>
          <w:sz w:val="28"/>
          <w:szCs w:val="28"/>
        </w:rPr>
        <w:t>年级，</w:t>
      </w:r>
      <w:r>
        <w:rPr>
          <w:rFonts w:hint="eastAsia" w:ascii="楷体" w:hAnsi="楷体" w:eastAsia="楷体"/>
          <w:sz w:val="28"/>
          <w:szCs w:val="28"/>
          <w:lang w:val="en-US" w:eastAsia="zh-CN"/>
        </w:rPr>
        <w:t>共14名学生，其中学习能力较强的5名，学习有极度困难的4名。</w:t>
      </w:r>
      <w:r>
        <w:rPr>
          <w:rFonts w:hint="eastAsia" w:ascii="楷体" w:hAnsi="楷体" w:eastAsia="楷体"/>
          <w:sz w:val="28"/>
          <w:szCs w:val="28"/>
        </w:rPr>
        <w:t>学生</w:t>
      </w:r>
      <w:r>
        <w:rPr>
          <w:rFonts w:hint="eastAsia" w:ascii="楷体" w:hAnsi="楷体" w:eastAsia="楷体"/>
          <w:sz w:val="28"/>
          <w:szCs w:val="28"/>
          <w:lang w:val="en-US" w:eastAsia="zh-CN"/>
        </w:rPr>
        <w:t>的</w:t>
      </w:r>
      <w:r>
        <w:rPr>
          <w:rFonts w:hint="eastAsia" w:ascii="楷体" w:hAnsi="楷体" w:eastAsia="楷体"/>
          <w:sz w:val="28"/>
          <w:szCs w:val="28"/>
        </w:rPr>
        <w:t>年龄水平相当，接受能力、听力水平、语言水平不同，</w:t>
      </w:r>
      <w:r>
        <w:rPr>
          <w:rFonts w:ascii="楷体" w:hAnsi="楷体" w:eastAsia="楷体"/>
          <w:sz w:val="28"/>
          <w:szCs w:val="28"/>
        </w:rPr>
        <w:t>学习态度一般比较端正，</w:t>
      </w:r>
      <w:r>
        <w:rPr>
          <w:rFonts w:hint="eastAsia" w:ascii="楷体" w:hAnsi="楷体" w:eastAsia="楷体"/>
          <w:sz w:val="28"/>
          <w:szCs w:val="28"/>
        </w:rPr>
        <w:t>有</w:t>
      </w:r>
      <w:r>
        <w:rPr>
          <w:rFonts w:ascii="楷体" w:hAnsi="楷体" w:eastAsia="楷体"/>
          <w:sz w:val="28"/>
          <w:szCs w:val="28"/>
        </w:rPr>
        <w:t>较好的学习习惯。但也有少数学生由于学习态度不够端正，目的不够明确，知识掌握不够牢固。</w:t>
      </w:r>
    </w:p>
    <w:p w14:paraId="7DB22645">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因为教学对象听力存在障碍，部分知识接收比较有难度。但动手操作能力极强，</w:t>
      </w:r>
      <w:r>
        <w:rPr>
          <w:rFonts w:ascii="楷体" w:hAnsi="楷体" w:eastAsia="楷体"/>
          <w:sz w:val="28"/>
          <w:szCs w:val="28"/>
        </w:rPr>
        <w:t>他们对计算机有着较浓厚的神秘感，这种神秘感容易转化为对计算机学科的兴趣，对他们今后的学习和工作中运用计算机产生正面影响。</w:t>
      </w:r>
      <w:r>
        <w:rPr>
          <w:rFonts w:hint="eastAsia" w:ascii="楷体" w:hAnsi="楷体" w:eastAsia="楷体"/>
          <w:sz w:val="28"/>
          <w:szCs w:val="28"/>
        </w:rPr>
        <w:t>采取多种方式，激发他们的学习兴趣，使全体学生养成良好上网及使用电脑的行为习惯和学习习惯。</w:t>
      </w:r>
    </w:p>
    <w:p w14:paraId="074AC693">
      <w:pPr>
        <w:pStyle w:val="11"/>
        <w:spacing w:line="480" w:lineRule="exact"/>
        <w:ind w:firstLine="560"/>
        <w:jc w:val="left"/>
        <w:rPr>
          <w:rFonts w:hint="eastAsia" w:ascii="楷体" w:hAnsi="楷体" w:eastAsia="楷体"/>
          <w:b/>
          <w:bCs/>
          <w:sz w:val="28"/>
          <w:szCs w:val="28"/>
          <w:lang w:val="en-US" w:eastAsia="zh-CN"/>
        </w:rPr>
      </w:pPr>
      <w:r>
        <w:rPr>
          <w:rFonts w:hint="eastAsia" w:ascii="楷体" w:hAnsi="楷体" w:eastAsia="楷体"/>
          <w:b/>
          <w:bCs/>
          <w:sz w:val="28"/>
          <w:szCs w:val="28"/>
          <w:lang w:val="en-US" w:eastAsia="zh-CN"/>
        </w:rPr>
        <w:t>学习动画编程的优势：</w:t>
      </w:r>
    </w:p>
    <w:p w14:paraId="3D14A405">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（一）视觉感知敏锐</w:t>
      </w:r>
    </w:p>
    <w:p w14:paraId="50F6395E">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听障生由于听力受损，他们在视觉方面会得到更多的锻炼和发展，视觉感知能力往往比普通学生更加敏锐。Scratch 动画编程主要依赖于图形化界面和可视化操作，通过色彩鲜明的角色、生动形象的舞台背景以及直观的编程积木块，听障生能够很好地利用其敏锐的视觉观察力来理解和操作。例如，在学习角色的移动、旋转等动画效果时，他们可以更清晰地捕捉到角色在舞台上的位置变化和动作表现，从而快速掌握相关编程指令的使用方法。</w:t>
      </w:r>
    </w:p>
    <w:p w14:paraId="56EBA1A5">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（二）形象思维能力较强</w:t>
      </w:r>
    </w:p>
    <w:p w14:paraId="5BF84FD8">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听障生在日常生活中更多地依靠形象来认识世界，这使得他们的形象思维能力相对较强。Scratch 动画编程以创建生动有趣的动画和游戏为主要目标，充满了丰富的形象元素，如角色、场景、道具等。听障生可以充分发挥其形象思维优势，构思出富有创意的动画情节和角色形象。在创作一个故事动画时，他们能够凭借自己的想象力，为角色设计独特的外形和动作，构建出精彩的故事情节，将抽象的编程概念转化为具体的动画作品。</w:t>
      </w:r>
    </w:p>
    <w:p w14:paraId="517ADC59">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（三）专注力较高</w:t>
      </w:r>
    </w:p>
    <w:p w14:paraId="656B968C">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由于听障生较少受到外界声音的干扰，他们往往能够更加专注于眼前的事物。在学习 Scratch 动画编程时，他们能够全身心地投入到编程环境中，认真观察每一个编程积木块的功能和作用，仔细调试代码以实现预期的动画效果。这种较高的专注力有助于他们深入理解编程知识，提高学习效率，更快地掌握编程技巧。</w:t>
      </w:r>
    </w:p>
    <w:p w14:paraId="0794F7B9">
      <w:pPr>
        <w:pStyle w:val="11"/>
        <w:spacing w:line="480" w:lineRule="exact"/>
        <w:ind w:firstLine="560"/>
        <w:jc w:val="left"/>
        <w:rPr>
          <w:rFonts w:hint="eastAsia" w:ascii="楷体" w:hAnsi="楷体" w:eastAsia="楷体"/>
          <w:b/>
          <w:bCs/>
          <w:sz w:val="28"/>
          <w:szCs w:val="28"/>
          <w:lang w:eastAsia="zh-CN"/>
        </w:rPr>
      </w:pPr>
      <w:r>
        <w:rPr>
          <w:rFonts w:hint="eastAsia" w:ascii="楷体" w:hAnsi="楷体" w:eastAsia="楷体"/>
          <w:b/>
          <w:bCs/>
          <w:sz w:val="28"/>
          <w:szCs w:val="28"/>
          <w:lang w:val="en-US" w:eastAsia="zh-CN"/>
        </w:rPr>
        <w:t>学习动画编程的</w:t>
      </w:r>
      <w:r>
        <w:rPr>
          <w:rFonts w:hint="eastAsia" w:ascii="楷体" w:hAnsi="楷体" w:eastAsia="楷体"/>
          <w:b/>
          <w:bCs/>
          <w:sz w:val="28"/>
          <w:szCs w:val="28"/>
        </w:rPr>
        <w:t>劣势</w:t>
      </w:r>
      <w:r>
        <w:rPr>
          <w:rFonts w:hint="eastAsia" w:ascii="楷体" w:hAnsi="楷体" w:eastAsia="楷体"/>
          <w:b/>
          <w:bCs/>
          <w:sz w:val="28"/>
          <w:szCs w:val="28"/>
          <w:lang w:eastAsia="zh-CN"/>
        </w:rPr>
        <w:t>：</w:t>
      </w:r>
    </w:p>
    <w:p w14:paraId="7DA99BE6">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（一）语言理解困难</w:t>
      </w:r>
    </w:p>
    <w:p w14:paraId="76011508">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语言是学习编程过程中不可或缺的工具，而听障生由于听力障碍，在语言的理解和表达上存在一定的困难。Scratch 编程虽然采用了图形化的编程方式，但仍然需要一定的文字说明和指令解释。听障生可能难以理解一些专业的编程术语和操作说明，如 “条件判断”“循环结构” 等概念，这会给他们的学习带来一定的阻碍。此外，在阅读教材、观看教学视频中的文字讲解时，也可能会出现理解偏差或误解的情况。</w:t>
      </w:r>
    </w:p>
    <w:p w14:paraId="253514CD">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（二）逻辑思维能力有待提高</w:t>
      </w:r>
    </w:p>
    <w:p w14:paraId="492C5F18">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编程需要较强的逻辑思维能力，包括分析问题、解决问题、设计算法等方面。听障生由于语言发展的限制，其逻辑思维能力的发展可能相对滞后。在学习 Scratch 动画编程时，他们可能难以理解编程中的逻辑关系，如顺序结构、分支结构和循环结构的运用。例如，在编写一个控制角色根据不同条件做出不同动作的程序时，听障生可能会对条件判断语句的逻辑关系感到困惑，不知道如何正确地设置条件和执行相应的动作。</w:t>
      </w:r>
    </w:p>
    <w:p w14:paraId="46927361">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（三）沟通交流障碍</w:t>
      </w:r>
    </w:p>
    <w:p w14:paraId="6DCE8ADA">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编程学习过程中，与教师和同学的沟通交流是非常重要的。通过交流，学生可以分享自己的想法和经验，解决遇到的问题，获得更多的启发和帮助。然而，听障生由于听力和语言障碍，在沟通交流方面存在较大的困难。他们可能无法像普通学生那样顺畅地与教师和同学进行口头交流，这会影响他们获取信息和反馈的效率，也不利于他们参与小组合作学习和项目讨论。</w:t>
      </w:r>
    </w:p>
    <w:p w14:paraId="19A1FAB3">
      <w:pPr>
        <w:pStyle w:val="11"/>
        <w:spacing w:line="480" w:lineRule="exact"/>
        <w:ind w:firstLine="560"/>
        <w:jc w:val="left"/>
        <w:rPr>
          <w:rFonts w:hint="eastAsia" w:ascii="楷体" w:hAnsi="楷体" w:eastAsia="楷体"/>
          <w:b/>
          <w:bCs/>
          <w:sz w:val="28"/>
          <w:szCs w:val="28"/>
          <w:lang w:eastAsia="zh-CN"/>
        </w:rPr>
      </w:pPr>
      <w:r>
        <w:rPr>
          <w:rFonts w:hint="eastAsia" w:ascii="楷体" w:hAnsi="楷体" w:eastAsia="楷体"/>
          <w:b/>
          <w:bCs/>
          <w:sz w:val="28"/>
          <w:szCs w:val="28"/>
        </w:rPr>
        <w:t>学习动机与兴趣</w:t>
      </w:r>
      <w:r>
        <w:rPr>
          <w:rFonts w:hint="eastAsia" w:ascii="楷体" w:hAnsi="楷体" w:eastAsia="楷体"/>
          <w:b/>
          <w:bCs/>
          <w:sz w:val="28"/>
          <w:szCs w:val="28"/>
          <w:lang w:eastAsia="zh-CN"/>
        </w:rPr>
        <w:t>：</w:t>
      </w:r>
    </w:p>
    <w:p w14:paraId="081E18FE">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（一）好奇心与探索欲</w:t>
      </w:r>
    </w:p>
    <w:p w14:paraId="193142D4">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听障生和其他学生一样，对新鲜事物充满了好奇心和探索欲。Scratch 动画编程具有趣味性和创新性，能够为他们提供一个全新的探索领域。色彩鲜艳的角色、动感十足的动画效果以及可以自己动手创作的编程体验，都能够激发听障生的好奇心和探索欲望，使他们愿意主动参与到学习中来。</w:t>
      </w:r>
    </w:p>
    <w:p w14:paraId="399D18C4">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（二）自我表达的需求</w:t>
      </w:r>
    </w:p>
    <w:p w14:paraId="303DE9FB">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听障生在日常生活中往往面临着表达困难的问题，他们渴望有更多的方式来表达自己的想法和情感。Scratch 动画编程为他们提供了一个很好的自我表达平台。通过编程，他们可以将自己的创意和想法转化为生动有趣的动画作品，向他人展示自己的内心世界，获得他人的认可和赞赏，从而满足自我表达的需求。</w:t>
      </w:r>
    </w:p>
    <w:p w14:paraId="23591E30">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（三）社会融入的渴望</w:t>
      </w:r>
    </w:p>
    <w:p w14:paraId="3B8E26AD">
      <w:pPr>
        <w:pStyle w:val="11"/>
        <w:spacing w:line="480" w:lineRule="exact"/>
        <w:ind w:firstLine="560"/>
        <w:jc w:val="left"/>
        <w:rPr>
          <w:rFonts w:hint="eastAsia" w:ascii="楷体" w:hAnsi="楷体" w:eastAsia="楷体"/>
          <w:sz w:val="28"/>
          <w:szCs w:val="28"/>
        </w:rPr>
      </w:pPr>
      <w:r>
        <w:rPr>
          <w:rFonts w:hint="eastAsia" w:ascii="楷体" w:hAnsi="楷体" w:eastAsia="楷体"/>
          <w:sz w:val="28"/>
          <w:szCs w:val="28"/>
        </w:rPr>
        <w:t>听障生也希望能够更好地融入社会，与他人建立良好的沟通和互动关系。学习 Scratch 动画编程可以让他们掌握一项新的技能，增加自己的自信心和竞争力。同时，通过参与编程活动和项目，他们可以与其他学生合作交流，拓展社交圈子，提高自己的社会融入能力。</w:t>
      </w:r>
    </w:p>
    <w:p w14:paraId="1CA56211">
      <w:pPr>
        <w:pStyle w:val="11"/>
        <w:numPr>
          <w:ilvl w:val="0"/>
          <w:numId w:val="1"/>
        </w:numPr>
        <w:ind w:firstLineChars="0"/>
        <w:jc w:val="left"/>
        <w:rPr>
          <w:rFonts w:hint="eastAsia" w:ascii="楷体" w:hAnsi="楷体" w:eastAsia="楷体"/>
          <w:b/>
          <w:sz w:val="28"/>
          <w:szCs w:val="28"/>
        </w:rPr>
      </w:pPr>
      <w:r>
        <w:rPr>
          <w:rFonts w:hint="eastAsia" w:ascii="楷体" w:hAnsi="楷体" w:eastAsia="楷体"/>
          <w:b/>
          <w:sz w:val="28"/>
          <w:szCs w:val="28"/>
        </w:rPr>
        <w:t>教材分析（包含教材总的分析、教学目标、教学重点、难点）</w:t>
      </w:r>
    </w:p>
    <w:p w14:paraId="054AB381">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2" w:firstLineChars="200"/>
        <w:jc w:val="left"/>
        <w:textAlignment w:val="auto"/>
        <w:rPr>
          <w:rFonts w:hint="eastAsia" w:ascii="楷体" w:hAnsi="楷体" w:eastAsia="楷体" w:cstheme="minorBidi"/>
          <w:b/>
          <w:bCs/>
          <w:kern w:val="2"/>
          <w:sz w:val="28"/>
          <w:szCs w:val="28"/>
          <w:lang w:val="en-US" w:eastAsia="zh-CN" w:bidi="ar-SA"/>
        </w:rPr>
      </w:pPr>
      <w:r>
        <w:rPr>
          <w:rFonts w:hint="eastAsia" w:ascii="楷体" w:hAnsi="楷体" w:eastAsia="楷体" w:cstheme="minorBidi"/>
          <w:b/>
          <w:bCs/>
          <w:kern w:val="2"/>
          <w:sz w:val="28"/>
          <w:szCs w:val="28"/>
          <w:lang w:val="en-US" w:eastAsia="zh-CN" w:bidi="ar-SA"/>
        </w:rPr>
        <w:t>1、教材内容概述</w:t>
      </w:r>
    </w:p>
    <w:p w14:paraId="1F1D54E8">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《Scratch 3.0 编程入门教程》是专门针对零基础学习者设计的 Scratch 编程教材，非常适合听障生作为编程启蒙的学习资料。这本教材全面且系统地介绍了 Scratch 3.0 编程软件的使用方法和编程基础知识，从软件的基本操作入手，逐步引导学习者掌握编程的逻辑思维和方法，最终能够独立完成各种有趣的编程作品。</w:t>
      </w:r>
    </w:p>
    <w:p w14:paraId="17FCB3B8">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2" w:firstLineChars="200"/>
        <w:jc w:val="left"/>
        <w:textAlignment w:val="auto"/>
        <w:rPr>
          <w:rFonts w:hint="eastAsia" w:ascii="楷体" w:hAnsi="楷体" w:eastAsia="楷体" w:cstheme="minorBidi"/>
          <w:b/>
          <w:bCs/>
          <w:kern w:val="2"/>
          <w:sz w:val="28"/>
          <w:szCs w:val="28"/>
          <w:lang w:val="en-US" w:eastAsia="zh-CN" w:bidi="ar-SA"/>
        </w:rPr>
      </w:pPr>
      <w:r>
        <w:rPr>
          <w:rFonts w:hint="eastAsia" w:ascii="楷体" w:hAnsi="楷体" w:eastAsia="楷体" w:cstheme="minorBidi"/>
          <w:b/>
          <w:bCs/>
          <w:kern w:val="2"/>
          <w:sz w:val="28"/>
          <w:szCs w:val="28"/>
          <w:lang w:val="en-US" w:eastAsia="zh-CN" w:bidi="ar-SA"/>
        </w:rPr>
        <w:t>2、知识结构与体系</w:t>
      </w:r>
    </w:p>
    <w:p w14:paraId="27A4175B">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（一）基础入门部分</w:t>
      </w:r>
    </w:p>
    <w:p w14:paraId="3C12DD5F">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教材开篇详细介绍了 Scratch 3.0 软件的发展历程、特点和应用领域，让听障生对编程有一个初步的认识和了解。接着，教材逐步引导学生学习软件的安装、启动以及界面的各个组成部分，如舞台区、角色区、积木区、脚本区等。通过这部分内容的学习，听障生能够熟悉 Scratch 3.0 的操作环境，为后续的编程学习打下坚实的基础。</w:t>
      </w:r>
    </w:p>
    <w:p w14:paraId="12850884">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（二）编程指令学习部分</w:t>
      </w:r>
    </w:p>
    <w:p w14:paraId="7D7184CD">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这是教材的核心内容之一，按照指令的功能和类型，将编程指令分为运动、外观、声音、事件、控制、侦测、运算、变量等多个模块进行讲解。每个模块都配有详细的示例和操作步骤，让听障生能够直观地理解每个指令的作用和使用方法。例如，在运动模块中，学生将学习如何使用移动、旋转、面向等指令来控制角色在舞台上的运动；在控制模块中，学生将掌握顺序结构、循环结构和条件判断等编程逻辑。</w:t>
      </w:r>
    </w:p>
    <w:p w14:paraId="0BAA1517">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（三）项目实践部分</w:t>
      </w:r>
    </w:p>
    <w:p w14:paraId="39838EF2">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通过多个实际项目，如动画制作、游戏开发、互动故事等，将前面所学的编程知识和技能进行综合应用。每个项目都有明确的目标和详细的实现步骤，从项目的构思、设计到编码实现，引导听障生逐步完成整个项目的开发。通过项目实践，听障生能够提高自己的编程能力和解决实际问题的能力，同时也能够激发他们的创造力和想象力。</w:t>
      </w:r>
    </w:p>
    <w:p w14:paraId="26406A95">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2" w:firstLineChars="200"/>
        <w:jc w:val="left"/>
        <w:textAlignment w:val="auto"/>
        <w:rPr>
          <w:rFonts w:hint="eastAsia" w:ascii="楷体" w:hAnsi="楷体" w:eastAsia="楷体" w:cstheme="minorBidi"/>
          <w:b/>
          <w:bCs/>
          <w:kern w:val="2"/>
          <w:sz w:val="28"/>
          <w:szCs w:val="28"/>
          <w:lang w:val="en-US" w:eastAsia="zh-CN" w:bidi="ar-SA"/>
        </w:rPr>
      </w:pPr>
      <w:r>
        <w:rPr>
          <w:rFonts w:hint="eastAsia" w:ascii="楷体" w:hAnsi="楷体" w:eastAsia="楷体" w:cstheme="minorBidi"/>
          <w:b/>
          <w:bCs/>
          <w:kern w:val="2"/>
          <w:sz w:val="28"/>
          <w:szCs w:val="28"/>
          <w:lang w:val="en-US" w:eastAsia="zh-CN" w:bidi="ar-SA"/>
        </w:rPr>
        <w:t>3、对听障生学习的适应性</w:t>
      </w:r>
    </w:p>
    <w:p w14:paraId="0AFF0EFB">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（一）图文并茂的呈现方式</w:t>
      </w:r>
    </w:p>
    <w:p w14:paraId="7DADCB4F">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中配有大量清晰、生动的图片和示例代码，能够直观地展示编程的过程和效果。对于听障生来说，图片和图示比文字更易于理解，他们可以通过观察图片来学习软件的操作方法和编程指令的使用。例如，在介绍角色移动指令时，教材会配有角色在舞台上移动的动画截图，让听障生能够直观地看到指令的执行效果。</w:t>
      </w:r>
    </w:p>
    <w:p w14:paraId="1A81F9D4">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（二）循序渐进的教学安排</w:t>
      </w:r>
    </w:p>
    <w:p w14:paraId="74877ACA">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的内容编排遵循由浅入深、循序渐进的原则，符合听障生的认知规律和学习特点。从简单的基础操作到复杂的项目实践，每个知识点和技能都有详细的讲解和示例，让听障生能够逐步掌握编程的知识和技能。同时，教材中还设置了一些思考问题和练习题，帮助听障生巩固所学的知识，提高他们的应用能力。</w:t>
      </w:r>
    </w:p>
    <w:p w14:paraId="0DF679D1">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（三）丰富的案例和项目</w:t>
      </w:r>
    </w:p>
    <w:p w14:paraId="05DE8211">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中提供了丰富多样的案例和项目，涵盖了动画、游戏、互动故事等多个领域，这些案例和项目不仅有趣味性，而且具有一定的实用性。听障生可以根据自己的兴趣选择不同的项目进行学习和实践，在实践中体验编程的乐趣和成就感。例如，教材中会介绍如何制作一个简单的打地鼠游戏，听障生可以通过这个项目学习如何使用事件、控制和运动等指令来实现游戏的逻辑和交互效果。</w:t>
      </w:r>
    </w:p>
    <w:p w14:paraId="3F42052E">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4、教材的局限性与应对策略</w:t>
      </w:r>
    </w:p>
    <w:p w14:paraId="22764D8B">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（一）文字说明理解困难</w:t>
      </w:r>
    </w:p>
    <w:p w14:paraId="77B03A54">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中的文字说明部分对于听障生来说可能存在一定的理解困难。虽然教材配有大量的图片，但一些抽象的概念和复杂的操作步骤仅靠图片可能无法完全理解。为了解决这个问题，教师可以将教材中的文字内容转化为手语进行讲解，同时制作一些辅助的教学视频，用动画演示的方式详细解释每个知识点和操作步骤。</w:t>
      </w:r>
    </w:p>
    <w:p w14:paraId="10ED9033">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（二）缺乏针对性的互动环节</w:t>
      </w:r>
    </w:p>
    <w:p w14:paraId="2257DA85">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教材本身缺乏专门针对听障生的互动环节，不利于听障生之间的交流和合作。教师可以在教学过程中组织一些小组活动和项目竞赛，让听障生分组合作完成编程项目，通过小组讨论、交流和协作，提高他们的沟通能力和团队协作能力。</w:t>
      </w:r>
    </w:p>
    <w:p w14:paraId="04E7A355">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（三）个性化学习需求难以满足</w:t>
      </w:r>
    </w:p>
    <w:p w14:paraId="33C4E9C0">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由于听障生的个体差异较大，他们的学习能力和兴趣爱好也各不相同。教材中的内容和教学进度可能无法满足每个听障生的个性化学习需求。教师可以根据听障生的实际情况，对教材内容进行适当的调整和拓展，为不同层次的学生提供不同难度的学习任务和挑战，让每个听障生都能在编程学习中有所收获。</w:t>
      </w:r>
    </w:p>
    <w:p w14:paraId="71DE6EE6">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2" w:firstLineChars="200"/>
        <w:jc w:val="left"/>
        <w:textAlignment w:val="auto"/>
        <w:rPr>
          <w:rFonts w:hint="eastAsia" w:ascii="楷体" w:hAnsi="楷体" w:eastAsia="楷体" w:cstheme="minorBidi"/>
          <w:b/>
          <w:bCs/>
          <w:kern w:val="2"/>
          <w:sz w:val="28"/>
          <w:szCs w:val="28"/>
          <w:lang w:val="en-US" w:eastAsia="zh-CN" w:bidi="ar-SA"/>
        </w:rPr>
      </w:pPr>
      <w:r>
        <w:rPr>
          <w:rFonts w:hint="eastAsia" w:ascii="楷体" w:hAnsi="楷体" w:eastAsia="楷体" w:cstheme="minorBidi"/>
          <w:b/>
          <w:bCs/>
          <w:kern w:val="2"/>
          <w:sz w:val="28"/>
          <w:szCs w:val="28"/>
          <w:lang w:val="en-US" w:eastAsia="zh-CN" w:bidi="ar-SA"/>
        </w:rPr>
        <w:t>4、教学重难点</w:t>
      </w:r>
    </w:p>
    <w:p w14:paraId="08FA2E59">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2" w:firstLineChars="200"/>
        <w:jc w:val="left"/>
        <w:textAlignment w:val="auto"/>
        <w:rPr>
          <w:rFonts w:hint="eastAsia" w:ascii="楷体" w:hAnsi="楷体" w:eastAsia="楷体" w:cstheme="minorBidi"/>
          <w:b/>
          <w:bCs/>
          <w:kern w:val="2"/>
          <w:sz w:val="28"/>
          <w:szCs w:val="28"/>
          <w:lang w:val="en-US" w:eastAsia="zh-CN" w:bidi="ar-SA"/>
        </w:rPr>
      </w:pPr>
      <w:r>
        <w:rPr>
          <w:rFonts w:hint="eastAsia" w:ascii="楷体" w:hAnsi="楷体" w:eastAsia="楷体" w:cstheme="minorBidi"/>
          <w:b/>
          <w:bCs/>
          <w:kern w:val="2"/>
          <w:sz w:val="28"/>
          <w:szCs w:val="28"/>
          <w:lang w:val="en-US" w:eastAsia="zh-CN" w:bidi="ar-SA"/>
        </w:rPr>
        <w:t>教学重点：</w:t>
      </w:r>
    </w:p>
    <w:p w14:paraId="51B96360">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熟悉 Scratch 编程软件的界面，包括舞台区、角色区、积木区等。</w:t>
      </w:r>
    </w:p>
    <w:p w14:paraId="17CED620">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掌握基础的编程指令，如移动、旋转、等待、重复执行等。</w:t>
      </w:r>
    </w:p>
    <w:p w14:paraId="59A42A85">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学会创建简单的动画和互动效果，能够根据给定的主题进行简单的编程创作。</w:t>
      </w:r>
    </w:p>
    <w:p w14:paraId="5819872D">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2" w:firstLineChars="200"/>
        <w:jc w:val="left"/>
        <w:textAlignment w:val="auto"/>
        <w:rPr>
          <w:rFonts w:hint="eastAsia" w:ascii="楷体" w:hAnsi="楷体" w:eastAsia="楷体" w:cstheme="minorBidi"/>
          <w:b/>
          <w:bCs/>
          <w:kern w:val="2"/>
          <w:sz w:val="28"/>
          <w:szCs w:val="28"/>
          <w:lang w:val="en-US" w:eastAsia="zh-CN" w:bidi="ar-SA"/>
        </w:rPr>
      </w:pPr>
      <w:r>
        <w:rPr>
          <w:rFonts w:hint="eastAsia" w:ascii="楷体" w:hAnsi="楷体" w:eastAsia="楷体" w:cstheme="minorBidi"/>
          <w:b/>
          <w:bCs/>
          <w:kern w:val="2"/>
          <w:sz w:val="28"/>
          <w:szCs w:val="28"/>
          <w:lang w:val="en-US" w:eastAsia="zh-CN" w:bidi="ar-SA"/>
        </w:rPr>
        <w:t>教学难点：</w:t>
      </w:r>
    </w:p>
    <w:p w14:paraId="0D403CE9">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理解编程中的逻辑思维，如顺序结构、循环结构和条件判断等。</w:t>
      </w:r>
    </w:p>
    <w:p w14:paraId="0C90ADCD">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能够将实际问题转化为编程问题，并通过编写代码解决问题。</w:t>
      </w:r>
    </w:p>
    <w:p w14:paraId="09AE4959">
      <w:pPr>
        <w:pStyle w:val="11"/>
        <w:keepNext w:val="0"/>
        <w:keepLines w:val="0"/>
        <w:pageBreakBefore w:val="0"/>
        <w:widowControl w:val="0"/>
        <w:numPr>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培养听障生的自主学习能力和创新能力，使他们能够在掌握基础知识的基础上进行拓展和创新。</w:t>
      </w:r>
    </w:p>
    <w:p w14:paraId="2E25714B">
      <w:pPr>
        <w:pStyle w:val="11"/>
        <w:numPr>
          <w:ilvl w:val="0"/>
          <w:numId w:val="1"/>
        </w:numPr>
        <w:ind w:firstLineChars="0"/>
        <w:jc w:val="left"/>
        <w:rPr>
          <w:rFonts w:hint="eastAsia" w:ascii="楷体" w:hAnsi="楷体" w:eastAsia="楷体"/>
          <w:b/>
          <w:sz w:val="28"/>
          <w:szCs w:val="28"/>
        </w:rPr>
      </w:pPr>
      <w:r>
        <w:rPr>
          <w:rFonts w:hint="eastAsia" w:ascii="楷体" w:hAnsi="楷体" w:eastAsia="楷体"/>
          <w:b/>
          <w:sz w:val="28"/>
          <w:szCs w:val="28"/>
        </w:rPr>
        <w:t>教学措施分析（以提高教学质量为前提的教学措施）</w:t>
      </w:r>
    </w:p>
    <w:p w14:paraId="42715BE3">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直观教学：充分利用图片、动画、视频等直观教学手段，将抽象的编程概念转化为直观易懂的内容。例如，在讲解角色移动时，通过动画演示角色的移动过程，让听障生更直观地理解移动指令的作用。</w:t>
      </w:r>
    </w:p>
    <w:p w14:paraId="6AE87067">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手语辅助：教师在教学过程中使用清晰、准确的手语进行讲解，确保听障生能够理解教学内容。对于一些专业的编程术语，制作专门的手语词汇表，方便听障生学习和记忆。</w:t>
      </w:r>
    </w:p>
    <w:p w14:paraId="63FA4492">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分层教学：根据听障生的学习能力和基础，将学生分为不同的层次，制定不同的教学目标和任务。对于基础较弱的学生，重点关注基础知识的掌握；对于基础较好的学生，提供一些拓展性的任务，鼓励他们进行创新。</w:t>
      </w:r>
    </w:p>
    <w:p w14:paraId="49FCD6E9">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实践操作：增加实践操作的时间，让听障生在实践中巩固所学知识，提高动手能力。教师在学生实践过程中巡回指导，及时发现问题并给予帮助。</w:t>
      </w:r>
    </w:p>
    <w:p w14:paraId="61AF089D">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560" w:firstLineChars="200"/>
        <w:jc w:val="left"/>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小组合作：将听障生分成小组，进行小组合作学习。在小组中，学生可以相互交流、相互帮助，共同完成编程任务。通过小组合作，培养听障生的团队协作能力和沟通能力。</w:t>
      </w:r>
    </w:p>
    <w:p w14:paraId="436A2831">
      <w:pPr>
        <w:pStyle w:val="11"/>
        <w:numPr>
          <w:ilvl w:val="0"/>
          <w:numId w:val="1"/>
        </w:numPr>
        <w:ind w:firstLineChars="0"/>
        <w:jc w:val="left"/>
        <w:rPr>
          <w:rFonts w:hint="eastAsia" w:ascii="楷体" w:hAnsi="楷体" w:eastAsia="楷体"/>
          <w:b/>
          <w:sz w:val="28"/>
          <w:szCs w:val="28"/>
        </w:rPr>
      </w:pPr>
      <w:r>
        <w:rPr>
          <w:rFonts w:hint="eastAsia" w:ascii="楷体" w:hAnsi="楷体" w:eastAsia="楷体"/>
          <w:b/>
          <w:sz w:val="28"/>
          <w:szCs w:val="28"/>
          <w:lang w:val="en-US" w:eastAsia="zh-CN"/>
        </w:rPr>
        <w:t>教学评价</w:t>
      </w:r>
    </w:p>
    <w:p w14:paraId="65C58022">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180" w:beforeAutospacing="0" w:after="0" w:afterAutospacing="0" w:line="480" w:lineRule="exact"/>
        <w:ind w:left="0" w:right="0" w:firstLine="560" w:firstLineChars="200"/>
        <w:textAlignment w:val="auto"/>
        <w:rPr>
          <w:rFonts w:hint="eastAsia" w:ascii="楷体" w:hAnsi="楷体" w:eastAsia="楷体" w:cstheme="minorBidi"/>
          <w:kern w:val="2"/>
          <w:sz w:val="28"/>
          <w:szCs w:val="28"/>
          <w:lang w:val="en-US" w:eastAsia="zh-CN" w:bidi="ar-SA"/>
        </w:rPr>
      </w:pPr>
      <w:r>
        <w:rPr>
          <w:rFonts w:hint="eastAsia" w:ascii="楷体" w:hAnsi="楷体" w:eastAsia="楷体" w:cstheme="minorBidi"/>
          <w:kern w:val="2"/>
          <w:sz w:val="28"/>
          <w:szCs w:val="28"/>
          <w:lang w:val="en-US" w:eastAsia="zh-CN" w:bidi="ar-SA"/>
        </w:rPr>
        <w:t>过程性评价：观察听障生在课堂上的表现，包括参与度、操作能力、合作能力等。记录学生在实践操作过程中遇到的问题和解决问题的方法，及时给予反馈和指导。</w:t>
      </w:r>
    </w:p>
    <w:p w14:paraId="4E4DEECE">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120" w:beforeAutospacing="0" w:after="0" w:afterAutospacing="0" w:line="480" w:lineRule="exact"/>
        <w:ind w:left="0" w:right="0" w:firstLine="560" w:firstLineChars="200"/>
        <w:textAlignment w:val="auto"/>
        <w:rPr>
          <w:rFonts w:hint="eastAsia" w:ascii="楷体" w:hAnsi="楷体" w:eastAsia="楷体" w:cstheme="minorBidi"/>
          <w:kern w:val="2"/>
          <w:sz w:val="28"/>
          <w:szCs w:val="28"/>
          <w:lang w:val="en-US" w:eastAsia="zh-CN" w:bidi="ar-SA"/>
        </w:rPr>
      </w:pPr>
      <w:r>
        <w:rPr>
          <w:rFonts w:hint="default" w:ascii="楷体" w:hAnsi="楷体" w:eastAsia="楷体" w:cstheme="minorBidi"/>
          <w:kern w:val="2"/>
          <w:sz w:val="28"/>
          <w:szCs w:val="28"/>
          <w:lang w:val="en-US" w:eastAsia="zh-CN" w:bidi="ar-SA"/>
        </w:rPr>
        <w:t>作品评价：对听障生完成的编程作品进行评价，从作品的创意、功能、美观等方面进行综合评价。组织学生进行作品展示和交流，让学生相互学习和借鉴。</w:t>
      </w:r>
    </w:p>
    <w:p w14:paraId="6A9837F2">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120" w:beforeAutospacing="0" w:after="0" w:afterAutospacing="0" w:line="480" w:lineRule="exact"/>
        <w:ind w:left="0" w:right="0" w:firstLine="560" w:firstLineChars="200"/>
        <w:textAlignment w:val="auto"/>
        <w:rPr>
          <w:rFonts w:hint="eastAsia" w:ascii="楷体" w:hAnsi="楷体" w:eastAsia="楷体"/>
          <w:b/>
          <w:sz w:val="28"/>
          <w:szCs w:val="28"/>
        </w:rPr>
      </w:pPr>
      <w:r>
        <w:rPr>
          <w:rFonts w:hint="default" w:ascii="楷体" w:hAnsi="楷体" w:eastAsia="楷体" w:cstheme="minorBidi"/>
          <w:kern w:val="2"/>
          <w:sz w:val="28"/>
          <w:szCs w:val="28"/>
          <w:lang w:val="en-US" w:eastAsia="zh-CN" w:bidi="ar-SA"/>
        </w:rPr>
        <w:t>阶段性评价：在每个教学阶段结束后，对听障生的学习情况进行阶段性评价。通过测试、作业等方式，检查学生对本阶段知识和技能的掌握程度，总结教学经验，调整教学策略</w:t>
      </w:r>
      <w:r>
        <w:rPr>
          <w:rFonts w:hint="eastAsia" w:ascii="楷体" w:hAnsi="楷体" w:eastAsia="楷体" w:cstheme="minorBidi"/>
          <w:kern w:val="2"/>
          <w:sz w:val="28"/>
          <w:szCs w:val="28"/>
          <w:lang w:val="en-US" w:eastAsia="zh-CN" w:bidi="ar-SA"/>
        </w:rPr>
        <w:t>。</w:t>
      </w:r>
    </w:p>
    <w:p w14:paraId="7A59454D">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jc w:val="left"/>
        <w:textAlignment w:val="auto"/>
        <w:rPr>
          <w:rFonts w:hint="eastAsia" w:ascii="楷体" w:hAnsi="楷体" w:eastAsia="楷体" w:cstheme="minorBidi"/>
          <w:kern w:val="2"/>
          <w:sz w:val="28"/>
          <w:szCs w:val="28"/>
          <w:lang w:val="en-US" w:eastAsia="zh-CN" w:bidi="ar-SA"/>
        </w:rPr>
      </w:pPr>
    </w:p>
    <w:p w14:paraId="52B9CFCE">
      <w:pPr>
        <w:pStyle w:val="11"/>
        <w:keepNext w:val="0"/>
        <w:keepLines w:val="0"/>
        <w:pageBreakBefore w:val="0"/>
        <w:widowControl w:val="0"/>
        <w:numPr>
          <w:ilvl w:val="0"/>
          <w:numId w:val="0"/>
        </w:numPr>
        <w:kinsoku/>
        <w:wordWrap/>
        <w:overflowPunct/>
        <w:topLinePunct w:val="0"/>
        <w:autoSpaceDE/>
        <w:autoSpaceDN/>
        <w:bidi w:val="0"/>
        <w:adjustRightInd/>
        <w:snapToGrid/>
        <w:spacing w:line="480" w:lineRule="exact"/>
        <w:jc w:val="left"/>
        <w:textAlignment w:val="auto"/>
        <w:rPr>
          <w:rFonts w:hint="eastAsia" w:ascii="楷体" w:hAnsi="楷体" w:eastAsia="楷体" w:cstheme="minorBidi"/>
          <w:kern w:val="2"/>
          <w:sz w:val="28"/>
          <w:szCs w:val="28"/>
          <w:lang w:val="en-US" w:eastAsia="zh-CN" w:bidi="ar-SA"/>
        </w:rPr>
      </w:pPr>
    </w:p>
    <w:p w14:paraId="612238C1">
      <w:pPr>
        <w:jc w:val="both"/>
      </w:pPr>
    </w:p>
    <w:p w14:paraId="270B297E">
      <w:pPr>
        <w:jc w:val="center"/>
        <w:rPr>
          <w:rFonts w:hint="eastAsia" w:ascii="仿宋" w:hAnsi="仿宋" w:eastAsia="仿宋"/>
          <w:b/>
          <w:sz w:val="32"/>
          <w:szCs w:val="32"/>
        </w:rPr>
      </w:pPr>
      <w:r>
        <w:rPr>
          <w:rFonts w:hint="eastAsia" w:ascii="仿宋" w:hAnsi="仿宋" w:eastAsia="仿宋"/>
          <w:b/>
          <w:sz w:val="32"/>
          <w:szCs w:val="32"/>
        </w:rPr>
        <w:t>教学进度表</w:t>
      </w:r>
    </w:p>
    <w:tbl>
      <w:tblPr>
        <w:tblStyle w:val="8"/>
        <w:tblW w:w="8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9"/>
        <w:gridCol w:w="1501"/>
        <w:gridCol w:w="4367"/>
        <w:gridCol w:w="910"/>
      </w:tblGrid>
      <w:tr w14:paraId="2E0C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3520A084">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周次</w:t>
            </w:r>
          </w:p>
        </w:tc>
        <w:tc>
          <w:tcPr>
            <w:tcW w:w="1501" w:type="dxa"/>
            <w:vAlign w:val="center"/>
          </w:tcPr>
          <w:p w14:paraId="5A0BF5F1">
            <w:pPr>
              <w:widowControl/>
              <w:jc w:val="center"/>
              <w:rPr>
                <w:rFonts w:hint="default" w:ascii="Times New Roman" w:hAnsi="Times New Roman" w:eastAsia="宋体" w:cs="Times New Roman"/>
                <w:b/>
                <w:kern w:val="0"/>
                <w:sz w:val="22"/>
                <w:szCs w:val="22"/>
                <w:lang w:val="en-US" w:eastAsia="zh-CN" w:bidi="ar-SA"/>
              </w:rPr>
            </w:pPr>
            <w:r>
              <w:rPr>
                <w:rFonts w:hint="default" w:ascii="Times New Roman" w:hAnsi="Times New Roman" w:eastAsia="仿宋" w:cs="Times New Roman"/>
                <w:b/>
                <w:bCs w:val="0"/>
                <w:kern w:val="0"/>
                <w:sz w:val="28"/>
                <w:szCs w:val="28"/>
              </w:rPr>
              <w:t>日期</w:t>
            </w:r>
          </w:p>
        </w:tc>
        <w:tc>
          <w:tcPr>
            <w:tcW w:w="4367" w:type="dxa"/>
            <w:vAlign w:val="center"/>
          </w:tcPr>
          <w:p w14:paraId="44695154">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教材章节内容</w:t>
            </w:r>
          </w:p>
        </w:tc>
        <w:tc>
          <w:tcPr>
            <w:tcW w:w="910" w:type="dxa"/>
            <w:vAlign w:val="center"/>
          </w:tcPr>
          <w:p w14:paraId="4BBF9034">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课时</w:t>
            </w:r>
          </w:p>
        </w:tc>
      </w:tr>
      <w:tr w14:paraId="1622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6EE45B93">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第一周</w:t>
            </w:r>
          </w:p>
        </w:tc>
        <w:tc>
          <w:tcPr>
            <w:tcW w:w="1501" w:type="dxa"/>
            <w:vAlign w:val="center"/>
          </w:tcPr>
          <w:p w14:paraId="0B94FE0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2.17-2.21</w:t>
            </w:r>
          </w:p>
        </w:tc>
        <w:tc>
          <w:tcPr>
            <w:tcW w:w="4367" w:type="dxa"/>
            <w:vMerge w:val="restart"/>
            <w:vAlign w:val="center"/>
          </w:tcPr>
          <w:p w14:paraId="0A7A55D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海底世界</w:t>
            </w:r>
          </w:p>
        </w:tc>
        <w:tc>
          <w:tcPr>
            <w:tcW w:w="910" w:type="dxa"/>
            <w:vAlign w:val="center"/>
          </w:tcPr>
          <w:p w14:paraId="40CA792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2BF76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71E6B672">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第二周</w:t>
            </w:r>
          </w:p>
        </w:tc>
        <w:tc>
          <w:tcPr>
            <w:tcW w:w="1501" w:type="dxa"/>
            <w:vAlign w:val="center"/>
          </w:tcPr>
          <w:p w14:paraId="152C1F1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2.24-2.28</w:t>
            </w:r>
          </w:p>
        </w:tc>
        <w:tc>
          <w:tcPr>
            <w:tcW w:w="4367" w:type="dxa"/>
            <w:vMerge w:val="continue"/>
            <w:tcBorders/>
            <w:vAlign w:val="center"/>
          </w:tcPr>
          <w:p w14:paraId="7A6F2E0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66AAA71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16E4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1666949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第三周</w:t>
            </w:r>
          </w:p>
        </w:tc>
        <w:tc>
          <w:tcPr>
            <w:tcW w:w="1501" w:type="dxa"/>
            <w:vAlign w:val="center"/>
          </w:tcPr>
          <w:p w14:paraId="7AE598A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3.3-3.7</w:t>
            </w:r>
          </w:p>
        </w:tc>
        <w:tc>
          <w:tcPr>
            <w:tcW w:w="4367" w:type="dxa"/>
            <w:vMerge w:val="restart"/>
            <w:vAlign w:val="center"/>
          </w:tcPr>
          <w:p w14:paraId="285D9C5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恐龙乐园</w:t>
            </w:r>
          </w:p>
        </w:tc>
        <w:tc>
          <w:tcPr>
            <w:tcW w:w="910" w:type="dxa"/>
            <w:vAlign w:val="center"/>
          </w:tcPr>
          <w:p w14:paraId="38C0697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1315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1C5E5812">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第四周</w:t>
            </w:r>
          </w:p>
        </w:tc>
        <w:tc>
          <w:tcPr>
            <w:tcW w:w="1501" w:type="dxa"/>
            <w:vAlign w:val="center"/>
          </w:tcPr>
          <w:p w14:paraId="0B6372F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3.10-3.14</w:t>
            </w:r>
          </w:p>
        </w:tc>
        <w:tc>
          <w:tcPr>
            <w:tcW w:w="4367" w:type="dxa"/>
            <w:vMerge w:val="continue"/>
            <w:tcBorders/>
            <w:vAlign w:val="center"/>
          </w:tcPr>
          <w:p w14:paraId="144DC81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43E1C25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6E1E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45C312BC">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第五周</w:t>
            </w:r>
          </w:p>
        </w:tc>
        <w:tc>
          <w:tcPr>
            <w:tcW w:w="1501" w:type="dxa"/>
            <w:vAlign w:val="center"/>
          </w:tcPr>
          <w:p w14:paraId="15BF58F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3.17-3.21</w:t>
            </w:r>
          </w:p>
        </w:tc>
        <w:tc>
          <w:tcPr>
            <w:tcW w:w="4367" w:type="dxa"/>
            <w:vMerge w:val="restart"/>
            <w:shd w:val="clear" w:color="auto" w:fill="auto"/>
            <w:vAlign w:val="center"/>
          </w:tcPr>
          <w:p w14:paraId="2203E57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奔跑的哨子</w:t>
            </w:r>
          </w:p>
        </w:tc>
        <w:tc>
          <w:tcPr>
            <w:tcW w:w="910" w:type="dxa"/>
            <w:vAlign w:val="center"/>
          </w:tcPr>
          <w:p w14:paraId="62A2A0C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3609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32DD1C8B">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第六周</w:t>
            </w:r>
          </w:p>
        </w:tc>
        <w:tc>
          <w:tcPr>
            <w:tcW w:w="1501" w:type="dxa"/>
            <w:vAlign w:val="center"/>
          </w:tcPr>
          <w:p w14:paraId="4AAAE99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3.24-3.28</w:t>
            </w:r>
          </w:p>
        </w:tc>
        <w:tc>
          <w:tcPr>
            <w:tcW w:w="4367" w:type="dxa"/>
            <w:vMerge w:val="continue"/>
            <w:tcBorders/>
            <w:vAlign w:val="center"/>
          </w:tcPr>
          <w:p w14:paraId="57D25E9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59824A0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163C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31C11C1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第七周</w:t>
            </w:r>
          </w:p>
        </w:tc>
        <w:tc>
          <w:tcPr>
            <w:tcW w:w="1501" w:type="dxa"/>
            <w:vAlign w:val="center"/>
          </w:tcPr>
          <w:p w14:paraId="26ED767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3.31-4.3</w:t>
            </w:r>
          </w:p>
        </w:tc>
        <w:tc>
          <w:tcPr>
            <w:tcW w:w="4367" w:type="dxa"/>
            <w:vMerge w:val="restart"/>
            <w:vAlign w:val="center"/>
          </w:tcPr>
          <w:p w14:paraId="03A4FC8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kern w:val="2"/>
                <w:sz w:val="28"/>
                <w:szCs w:val="28"/>
                <w:vertAlign w:val="baseline"/>
                <w:lang w:val="en-US" w:eastAsia="zh-CN" w:bidi="ar-SA"/>
              </w:rPr>
              <w:t>排队的虫子</w:t>
            </w:r>
          </w:p>
        </w:tc>
        <w:tc>
          <w:tcPr>
            <w:tcW w:w="910" w:type="dxa"/>
            <w:vAlign w:val="center"/>
          </w:tcPr>
          <w:p w14:paraId="1F1EFF3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56CF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29D19EFC">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第八周</w:t>
            </w:r>
          </w:p>
        </w:tc>
        <w:tc>
          <w:tcPr>
            <w:tcW w:w="1501" w:type="dxa"/>
            <w:vAlign w:val="center"/>
          </w:tcPr>
          <w:p w14:paraId="5DD4D80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4.7-4.11</w:t>
            </w:r>
          </w:p>
        </w:tc>
        <w:tc>
          <w:tcPr>
            <w:tcW w:w="4367" w:type="dxa"/>
            <w:vMerge w:val="continue"/>
            <w:tcBorders/>
            <w:vAlign w:val="center"/>
          </w:tcPr>
          <w:p w14:paraId="6D7FF16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p>
        </w:tc>
        <w:tc>
          <w:tcPr>
            <w:tcW w:w="910" w:type="dxa"/>
            <w:vAlign w:val="center"/>
          </w:tcPr>
          <w:p w14:paraId="050D07E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20F5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3282FBC4">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第九周</w:t>
            </w:r>
          </w:p>
        </w:tc>
        <w:tc>
          <w:tcPr>
            <w:tcW w:w="1501" w:type="dxa"/>
            <w:vAlign w:val="center"/>
          </w:tcPr>
          <w:p w14:paraId="658935D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4.14-4.18</w:t>
            </w:r>
          </w:p>
        </w:tc>
        <w:tc>
          <w:tcPr>
            <w:tcW w:w="4367" w:type="dxa"/>
            <w:vMerge w:val="restart"/>
            <w:vAlign w:val="center"/>
          </w:tcPr>
          <w:p w14:paraId="3C3E159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鲨鱼特校</w:t>
            </w:r>
          </w:p>
        </w:tc>
        <w:tc>
          <w:tcPr>
            <w:tcW w:w="910" w:type="dxa"/>
            <w:vAlign w:val="center"/>
          </w:tcPr>
          <w:p w14:paraId="63C030D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3ED0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65555D27">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第十周</w:t>
            </w:r>
          </w:p>
        </w:tc>
        <w:tc>
          <w:tcPr>
            <w:tcW w:w="1501" w:type="dxa"/>
            <w:vAlign w:val="center"/>
          </w:tcPr>
          <w:p w14:paraId="183A613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4.21-4.25</w:t>
            </w:r>
          </w:p>
        </w:tc>
        <w:tc>
          <w:tcPr>
            <w:tcW w:w="4367" w:type="dxa"/>
            <w:vMerge w:val="continue"/>
            <w:tcBorders/>
            <w:vAlign w:val="center"/>
          </w:tcPr>
          <w:p w14:paraId="64AAD89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6B86458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05A1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09" w:type="dxa"/>
            <w:vAlign w:val="center"/>
          </w:tcPr>
          <w:p w14:paraId="7D93F9F5">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第十一周</w:t>
            </w:r>
          </w:p>
        </w:tc>
        <w:tc>
          <w:tcPr>
            <w:tcW w:w="1501" w:type="dxa"/>
            <w:vAlign w:val="center"/>
          </w:tcPr>
          <w:p w14:paraId="4C2B6F4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4.27-4.30</w:t>
            </w:r>
          </w:p>
        </w:tc>
        <w:tc>
          <w:tcPr>
            <w:tcW w:w="4367" w:type="dxa"/>
            <w:vMerge w:val="restart"/>
            <w:vAlign w:val="center"/>
          </w:tcPr>
          <w:p w14:paraId="2565315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山地足球</w:t>
            </w:r>
          </w:p>
        </w:tc>
        <w:tc>
          <w:tcPr>
            <w:tcW w:w="910" w:type="dxa"/>
            <w:vAlign w:val="center"/>
          </w:tcPr>
          <w:p w14:paraId="7778FDC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55A5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50C29896">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第十二周</w:t>
            </w:r>
          </w:p>
        </w:tc>
        <w:tc>
          <w:tcPr>
            <w:tcW w:w="1501" w:type="dxa"/>
            <w:vAlign w:val="center"/>
          </w:tcPr>
          <w:p w14:paraId="0FADE3F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5.6-5.9</w:t>
            </w:r>
          </w:p>
        </w:tc>
        <w:tc>
          <w:tcPr>
            <w:tcW w:w="4367" w:type="dxa"/>
            <w:vMerge w:val="continue"/>
            <w:tcBorders/>
            <w:vAlign w:val="center"/>
          </w:tcPr>
          <w:p w14:paraId="10DA0F6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3AB3B46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7475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1C9817D7">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第十三周</w:t>
            </w:r>
          </w:p>
        </w:tc>
        <w:tc>
          <w:tcPr>
            <w:tcW w:w="1501" w:type="dxa"/>
            <w:vAlign w:val="center"/>
          </w:tcPr>
          <w:p w14:paraId="05935E7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5.12-5.16</w:t>
            </w:r>
          </w:p>
        </w:tc>
        <w:tc>
          <w:tcPr>
            <w:tcW w:w="4367" w:type="dxa"/>
            <w:vMerge w:val="restart"/>
            <w:vAlign w:val="center"/>
          </w:tcPr>
          <w:p w14:paraId="4244A68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保卫小鸡</w:t>
            </w:r>
          </w:p>
        </w:tc>
        <w:tc>
          <w:tcPr>
            <w:tcW w:w="910" w:type="dxa"/>
            <w:vAlign w:val="center"/>
          </w:tcPr>
          <w:p w14:paraId="337118B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39A6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4BF6F149">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第十四周</w:t>
            </w:r>
          </w:p>
        </w:tc>
        <w:tc>
          <w:tcPr>
            <w:tcW w:w="1501" w:type="dxa"/>
            <w:vAlign w:val="center"/>
          </w:tcPr>
          <w:p w14:paraId="67984E0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5.19-5.23</w:t>
            </w:r>
          </w:p>
        </w:tc>
        <w:tc>
          <w:tcPr>
            <w:tcW w:w="4367" w:type="dxa"/>
            <w:vMerge w:val="continue"/>
            <w:tcBorders/>
            <w:vAlign w:val="center"/>
          </w:tcPr>
          <w:p w14:paraId="00BE829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17EBC13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2B5D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27467D9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第十五周</w:t>
            </w:r>
          </w:p>
        </w:tc>
        <w:tc>
          <w:tcPr>
            <w:tcW w:w="1501" w:type="dxa"/>
            <w:vAlign w:val="center"/>
          </w:tcPr>
          <w:p w14:paraId="1D9781D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5.26-5.30</w:t>
            </w:r>
          </w:p>
        </w:tc>
        <w:tc>
          <w:tcPr>
            <w:tcW w:w="4367" w:type="dxa"/>
            <w:vMerge w:val="restart"/>
            <w:vAlign w:val="center"/>
          </w:tcPr>
          <w:p w14:paraId="5977EDF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迷宫游戏</w:t>
            </w:r>
          </w:p>
        </w:tc>
        <w:tc>
          <w:tcPr>
            <w:tcW w:w="910" w:type="dxa"/>
            <w:vAlign w:val="center"/>
          </w:tcPr>
          <w:p w14:paraId="5C6057A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3B20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22FAEDF5">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第十六周</w:t>
            </w:r>
          </w:p>
        </w:tc>
        <w:tc>
          <w:tcPr>
            <w:tcW w:w="1501" w:type="dxa"/>
            <w:vAlign w:val="center"/>
          </w:tcPr>
          <w:p w14:paraId="40A3D5F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6.3-6.6</w:t>
            </w:r>
          </w:p>
        </w:tc>
        <w:tc>
          <w:tcPr>
            <w:tcW w:w="4367" w:type="dxa"/>
            <w:vMerge w:val="continue"/>
            <w:tcBorders/>
            <w:vAlign w:val="center"/>
          </w:tcPr>
          <w:p w14:paraId="20EEC6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0E65CD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29E3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7F4FF6CD">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第十七周</w:t>
            </w:r>
          </w:p>
        </w:tc>
        <w:tc>
          <w:tcPr>
            <w:tcW w:w="1501" w:type="dxa"/>
            <w:vAlign w:val="center"/>
          </w:tcPr>
          <w:p w14:paraId="4F95060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6.9-6.13</w:t>
            </w:r>
          </w:p>
        </w:tc>
        <w:tc>
          <w:tcPr>
            <w:tcW w:w="4367" w:type="dxa"/>
            <w:vMerge w:val="restart"/>
            <w:vAlign w:val="center"/>
          </w:tcPr>
          <w:p w14:paraId="0986211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长江索道</w:t>
            </w:r>
          </w:p>
        </w:tc>
        <w:tc>
          <w:tcPr>
            <w:tcW w:w="910" w:type="dxa"/>
            <w:vAlign w:val="center"/>
          </w:tcPr>
          <w:p w14:paraId="34F7445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32A6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1A9A1506">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第十八周</w:t>
            </w:r>
          </w:p>
        </w:tc>
        <w:tc>
          <w:tcPr>
            <w:tcW w:w="1501" w:type="dxa"/>
            <w:vAlign w:val="center"/>
          </w:tcPr>
          <w:p w14:paraId="625B1C1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6.16-6.20</w:t>
            </w:r>
          </w:p>
        </w:tc>
        <w:tc>
          <w:tcPr>
            <w:tcW w:w="4367" w:type="dxa"/>
            <w:vMerge w:val="continue"/>
            <w:tcBorders/>
            <w:vAlign w:val="center"/>
          </w:tcPr>
          <w:p w14:paraId="7483675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60F035C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2130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exact"/>
          <w:jc w:val="center"/>
        </w:trPr>
        <w:tc>
          <w:tcPr>
            <w:tcW w:w="1709" w:type="dxa"/>
            <w:vAlign w:val="center"/>
          </w:tcPr>
          <w:p w14:paraId="1BF77F71">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第十九周</w:t>
            </w:r>
          </w:p>
        </w:tc>
        <w:tc>
          <w:tcPr>
            <w:tcW w:w="1501" w:type="dxa"/>
            <w:vAlign w:val="center"/>
          </w:tcPr>
          <w:p w14:paraId="45D3252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6.23-6.27</w:t>
            </w:r>
          </w:p>
        </w:tc>
        <w:tc>
          <w:tcPr>
            <w:tcW w:w="4367" w:type="dxa"/>
            <w:vMerge w:val="restart"/>
            <w:vAlign w:val="center"/>
          </w:tcPr>
          <w:p w14:paraId="3C19061E">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练习</w:t>
            </w:r>
          </w:p>
        </w:tc>
        <w:tc>
          <w:tcPr>
            <w:tcW w:w="910" w:type="dxa"/>
            <w:vAlign w:val="center"/>
          </w:tcPr>
          <w:p w14:paraId="06BBA5D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1E8A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3760AF9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color w:val="auto"/>
                <w:sz w:val="28"/>
                <w:szCs w:val="28"/>
                <w:vertAlign w:val="baseline"/>
                <w:lang w:val="en-US" w:eastAsia="zh-CN"/>
              </w:rPr>
            </w:pPr>
            <w:r>
              <w:rPr>
                <w:rFonts w:hint="default" w:ascii="Times New Roman" w:hAnsi="Times New Roman" w:eastAsia="仿宋" w:cs="Times New Roman"/>
                <w:b w:val="0"/>
                <w:bCs w:val="0"/>
                <w:color w:val="auto"/>
                <w:sz w:val="28"/>
                <w:szCs w:val="28"/>
                <w:vertAlign w:val="baseline"/>
                <w:lang w:val="en-US" w:eastAsia="zh-CN"/>
              </w:rPr>
              <w:t>第二十周</w:t>
            </w:r>
          </w:p>
        </w:tc>
        <w:tc>
          <w:tcPr>
            <w:tcW w:w="1501" w:type="dxa"/>
            <w:vAlign w:val="center"/>
          </w:tcPr>
          <w:p w14:paraId="5E7FA3B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6.30-7.4</w:t>
            </w:r>
          </w:p>
        </w:tc>
        <w:tc>
          <w:tcPr>
            <w:tcW w:w="4367" w:type="dxa"/>
            <w:vMerge w:val="continue"/>
            <w:tcBorders/>
            <w:vAlign w:val="center"/>
          </w:tcPr>
          <w:p w14:paraId="3956DBD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910" w:type="dxa"/>
            <w:vAlign w:val="center"/>
          </w:tcPr>
          <w:p w14:paraId="2814DB4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r w14:paraId="7AC6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709" w:type="dxa"/>
            <w:vAlign w:val="center"/>
          </w:tcPr>
          <w:p w14:paraId="7936F5C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color w:val="auto"/>
                <w:sz w:val="28"/>
                <w:szCs w:val="28"/>
                <w:vertAlign w:val="baseline"/>
                <w:lang w:val="en-US" w:eastAsia="zh-CN"/>
              </w:rPr>
            </w:pPr>
            <w:r>
              <w:rPr>
                <w:rFonts w:hint="default" w:ascii="Times New Roman" w:hAnsi="Times New Roman" w:eastAsia="仿宋" w:cs="Times New Roman"/>
                <w:b w:val="0"/>
                <w:bCs w:val="0"/>
                <w:color w:val="auto"/>
                <w:sz w:val="28"/>
                <w:szCs w:val="28"/>
                <w:vertAlign w:val="baseline"/>
                <w:lang w:val="en-US" w:eastAsia="zh-CN"/>
              </w:rPr>
              <w:t>第二十</w:t>
            </w:r>
            <w:r>
              <w:rPr>
                <w:rFonts w:hint="eastAsia" w:ascii="Times New Roman" w:hAnsi="Times New Roman" w:eastAsia="仿宋" w:cs="Times New Roman"/>
                <w:b w:val="0"/>
                <w:bCs w:val="0"/>
                <w:color w:val="auto"/>
                <w:sz w:val="28"/>
                <w:szCs w:val="28"/>
                <w:vertAlign w:val="baseline"/>
                <w:lang w:val="en-US" w:eastAsia="zh-CN"/>
              </w:rPr>
              <w:t>一</w:t>
            </w:r>
            <w:r>
              <w:rPr>
                <w:rFonts w:hint="default" w:ascii="Times New Roman" w:hAnsi="Times New Roman" w:eastAsia="仿宋" w:cs="Times New Roman"/>
                <w:b w:val="0"/>
                <w:bCs w:val="0"/>
                <w:color w:val="auto"/>
                <w:sz w:val="28"/>
                <w:szCs w:val="28"/>
                <w:vertAlign w:val="baseline"/>
                <w:lang w:val="en-US" w:eastAsia="zh-CN"/>
              </w:rPr>
              <w:t>周</w:t>
            </w:r>
          </w:p>
        </w:tc>
        <w:tc>
          <w:tcPr>
            <w:tcW w:w="1501" w:type="dxa"/>
            <w:vAlign w:val="center"/>
          </w:tcPr>
          <w:p w14:paraId="2BDF8BB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7.7-7.11</w:t>
            </w:r>
          </w:p>
        </w:tc>
        <w:tc>
          <w:tcPr>
            <w:tcW w:w="4367" w:type="dxa"/>
            <w:vAlign w:val="center"/>
          </w:tcPr>
          <w:p w14:paraId="519A916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综合复习</w:t>
            </w:r>
          </w:p>
        </w:tc>
        <w:tc>
          <w:tcPr>
            <w:tcW w:w="910" w:type="dxa"/>
            <w:vAlign w:val="center"/>
          </w:tcPr>
          <w:p w14:paraId="7FB165C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1</w:t>
            </w:r>
          </w:p>
        </w:tc>
      </w:tr>
    </w:tbl>
    <w:p w14:paraId="1949431D">
      <w:pPr>
        <w:jc w:val="both"/>
        <w:rPr>
          <w:rFonts w:ascii="仿宋" w:hAnsi="仿宋" w:eastAsia="仿宋"/>
          <w:b/>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var(--s-font-base)">
    <w:altName w:val="熊孩子体"/>
    <w:panose1 w:val="00000000000000000000"/>
    <w:charset w:val="00"/>
    <w:family w:val="auto"/>
    <w:pitch w:val="default"/>
    <w:sig w:usb0="00000000" w:usb1="00000000" w:usb2="00000000" w:usb3="00000000" w:csb0="00000000" w:csb1="00000000"/>
  </w:font>
  <w:font w:name="熊孩子体">
    <w:panose1 w:val="02000500000000000000"/>
    <w:charset w:val="80"/>
    <w:family w:val="auto"/>
    <w:pitch w:val="default"/>
    <w:sig w:usb0="800002BF" w:usb1="184F6CFA"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14:paraId="195CB16A">
            <w:pPr>
              <w:pStyle w:val="5"/>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42A2C471">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702A8B7A">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132D0"/>
    <w:multiLevelType w:val="multilevel"/>
    <w:tmpl w:val="0C5132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E4778DA"/>
    <w:multiLevelType w:val="multilevel"/>
    <w:tmpl w:val="5E4778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DExOTUwOGNhYWJkNDVmOGE4ZWE2ZDFhNWE3NDMifQ=="/>
  </w:docVars>
  <w:rsids>
    <w:rsidRoot w:val="00007619"/>
    <w:rsid w:val="00007619"/>
    <w:rsid w:val="00073B95"/>
    <w:rsid w:val="0020325F"/>
    <w:rsid w:val="003379EE"/>
    <w:rsid w:val="004F0208"/>
    <w:rsid w:val="00622B99"/>
    <w:rsid w:val="006F250D"/>
    <w:rsid w:val="00751B52"/>
    <w:rsid w:val="00817A97"/>
    <w:rsid w:val="0088621A"/>
    <w:rsid w:val="008E14B2"/>
    <w:rsid w:val="00AC1F4E"/>
    <w:rsid w:val="00AF6BF9"/>
    <w:rsid w:val="00B016B9"/>
    <w:rsid w:val="00B27A35"/>
    <w:rsid w:val="00B92250"/>
    <w:rsid w:val="00BF416C"/>
    <w:rsid w:val="00D5320D"/>
    <w:rsid w:val="00DD7ED4"/>
    <w:rsid w:val="00E12771"/>
    <w:rsid w:val="00EA4C09"/>
    <w:rsid w:val="065E2E82"/>
    <w:rsid w:val="0FA95525"/>
    <w:rsid w:val="114C04A7"/>
    <w:rsid w:val="14F21366"/>
    <w:rsid w:val="15763D45"/>
    <w:rsid w:val="16974D41"/>
    <w:rsid w:val="37F22034"/>
    <w:rsid w:val="387E0FD4"/>
    <w:rsid w:val="410D6822"/>
    <w:rsid w:val="460A5C60"/>
    <w:rsid w:val="52660692"/>
    <w:rsid w:val="5BF3545F"/>
    <w:rsid w:val="60271F95"/>
    <w:rsid w:val="73F61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semiHidden/>
    <w:unhideWhenUsed/>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rPr>
  </w:style>
  <w:style w:type="paragraph" w:styleId="11">
    <w:name w:val="List Paragraph"/>
    <w:basedOn w:val="1"/>
    <w:qFormat/>
    <w:uiPriority w:val="34"/>
    <w:pPr>
      <w:ind w:firstLine="420" w:firstLineChars="200"/>
    </w:p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框文本 Char"/>
    <w:basedOn w:val="9"/>
    <w:link w:val="4"/>
    <w:semiHidden/>
    <w:uiPriority w:val="99"/>
    <w:rPr>
      <w:sz w:val="18"/>
      <w:szCs w:val="18"/>
    </w:rPr>
  </w:style>
  <w:style w:type="character" w:customStyle="1" w:styleId="15">
    <w:name w:val="font11"/>
    <w:basedOn w:val="9"/>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1631</Words>
  <Characters>1816</Characters>
  <Lines>2</Lines>
  <Paragraphs>1</Paragraphs>
  <TotalTime>22</TotalTime>
  <ScaleCrop>false</ScaleCrop>
  <LinksUpToDate>false</LinksUpToDate>
  <CharactersWithSpaces>1838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2018-03-07T01:21:00Z</dcterms:created>
  <dc:creator>季节</dc:creator>
  <cp:lastModifiedBy>Administrator</cp:lastModifiedBy>
  <cp:lastPrinted>2018-03-07T03:26:00Z</cp:lastPrinted>
  <dcterms:modified xsi:type="dcterms:W3CDTF">2025-02-17T01:00:43Z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E3C25FB59CC74C1E82EB1704757AE063</vt:lpwstr>
  </property>
  <property fmtid="{D5CDD505-2E9C-101B-9397-08002B2CF9AE}" pid="4" name="KSOTemplateDocerSaveRecord">
    <vt:lpwstr>eyJoZGlkIjoiYzU2MDExOTUwOGNhYWJkNDVmOGE4ZWE2ZDFhNWE3NDMifQ==</vt:lpwstr>
  </property>
</Properties>
</file>