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7F156">
      <w:pPr>
        <w:jc w:val="center"/>
        <w:rPr>
          <w:rFonts w:ascii="方正小标宋简体" w:hAnsi="方正小标宋简体" w:eastAsia="方正小标宋简体" w:cs="方正小标宋简体"/>
          <w:color w:val="FF0000"/>
          <w:spacing w:val="20"/>
          <w:sz w:val="52"/>
          <w:szCs w:val="52"/>
        </w:rPr>
      </w:pPr>
      <w:r>
        <w:rPr>
          <w:sz w:val="52"/>
        </w:rPr>
        <mc:AlternateContent>
          <mc:Choice Requires="wps">
            <w:drawing>
              <wp:anchor distT="0" distB="0" distL="114300" distR="114300" simplePos="0" relativeHeight="251661312" behindDoc="0" locked="0" layoutInCell="1" allowOverlap="1">
                <wp:simplePos x="0" y="0"/>
                <wp:positionH relativeFrom="column">
                  <wp:posOffset>17145</wp:posOffset>
                </wp:positionH>
                <wp:positionV relativeFrom="paragraph">
                  <wp:posOffset>593090</wp:posOffset>
                </wp:positionV>
                <wp:extent cx="5753100" cy="25400"/>
                <wp:effectExtent l="0" t="4445" r="0" b="8255"/>
                <wp:wrapNone/>
                <wp:docPr id="5" name="直接连接符 5"/>
                <wp:cNvGraphicFramePr/>
                <a:graphic xmlns:a="http://schemas.openxmlformats.org/drawingml/2006/main">
                  <a:graphicData uri="http://schemas.microsoft.com/office/word/2010/wordprocessingShape">
                    <wps:wsp>
                      <wps:cNvSpPr/>
                      <wps:spPr>
                        <a:xfrm flipV="1">
                          <a:off x="0" y="0"/>
                          <a:ext cx="5753100" cy="25400"/>
                        </a:xfrm>
                        <a:prstGeom prst="line">
                          <a:avLst/>
                        </a:prstGeom>
                        <a:ln w="9525" cap="flat" cmpd="sng">
                          <a:solidFill>
                            <a:srgbClr val="FF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flip:y;margin-left:1.35pt;margin-top:46.7pt;height:2pt;width:453pt;z-index:251661312;mso-width-relative:page;mso-height-relative:page;" filled="f" stroked="t" coordsize="21600,21600" o:gfxdata="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OwDPlvVAAAABwEAAA8AAAAAAAAAAQAgAAAAIgAAAGRycy9k&#10;b3ducmV2LnhtbFBLAQIUABQAAAAIAIdO4kBTxM25BQIAAPwDAAAOAAAAAAAAAAEAIAAAACQBAABk&#10;cnMvZTJvRG9jLnhtbFBLBQYAAAAABgAGAFkBAACbBQAAAAA=&#10;">
                <v:path arrowok="t"/>
                <v:fill on="f" focussize="0,0"/>
                <v:stroke color="#FF0000" joinstyle="miter"/>
                <v:imagedata o:title=""/>
                <o:lock v:ext="edit" aspectratio="f"/>
              </v:line>
            </w:pict>
          </mc:Fallback>
        </mc:AlternateContent>
      </w:r>
      <w:r>
        <w:rPr>
          <w:sz w:val="52"/>
        </w:rPr>
        <mc:AlternateContent>
          <mc:Choice Requires="wps">
            <w:drawing>
              <wp:anchor distT="0" distB="0" distL="114300" distR="114300" simplePos="0" relativeHeight="251660288" behindDoc="0" locked="0" layoutInCell="1" allowOverlap="1">
                <wp:simplePos x="0" y="0"/>
                <wp:positionH relativeFrom="column">
                  <wp:posOffset>41275</wp:posOffset>
                </wp:positionH>
                <wp:positionV relativeFrom="paragraph">
                  <wp:posOffset>541020</wp:posOffset>
                </wp:positionV>
                <wp:extent cx="5762625" cy="16510"/>
                <wp:effectExtent l="0" t="0" r="0" b="0"/>
                <wp:wrapNone/>
                <wp:docPr id="4" name="直接连接符 4"/>
                <wp:cNvGraphicFramePr/>
                <a:graphic xmlns:a="http://schemas.openxmlformats.org/drawingml/2006/main">
                  <a:graphicData uri="http://schemas.microsoft.com/office/word/2010/wordprocessingShape">
                    <wps:wsp>
                      <wps:cNvSpPr/>
                      <wps:spPr>
                        <a:xfrm flipV="1">
                          <a:off x="0" y="0"/>
                          <a:ext cx="5762625" cy="16510"/>
                        </a:xfrm>
                        <a:prstGeom prst="line">
                          <a:avLst/>
                        </a:prstGeom>
                        <a:ln w="28575" cap="flat" cmpd="sng">
                          <a:solidFill>
                            <a:srgbClr val="FF0000"/>
                          </a:solidFill>
                          <a:prstDash val="solid"/>
                          <a:miter/>
                          <a:headEnd type="none" w="med" len="med"/>
                          <a:tailEnd type="none" w="med" len="med"/>
                        </a:ln>
                      </wps:spPr>
                      <wps:bodyPr upright="1"/>
                    </wps:wsp>
                  </a:graphicData>
                </a:graphic>
              </wp:anchor>
            </w:drawing>
          </mc:Choice>
          <mc:Fallback>
            <w:pict>
              <v:line id="_x0000_s1026" o:spid="_x0000_s1026" o:spt="20" style="position:absolute;left:0pt;flip:y;margin-left:3.25pt;margin-top:42.6pt;height:1.3pt;width:453.75pt;z-index:251660288;mso-width-relative:page;mso-height-relative:page;" filled="f" stroked="t" coordsize="21600,21600" o:gfxdata="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LuzYf2AAAAAcBAAAPAAAAAAAAAAEAIAAAACIA&#10;AABkcnMvZG93bnJldi54bWxQSwECFAAUAAAACACHTuJACkdBKgkCAAD9AwAADgAAAAAAAAABACAA&#10;AAAnAQAAZHJzL2Uyb0RvYy54bWxQSwUGAAAAAAYABgBZAQAAogUAAAAA&#10;">
                <v:path arrowok="t"/>
                <v:fill on="f" focussize="0,0"/>
                <v:stroke weight="2.25pt" color="#FF0000" joinstyle="miter"/>
                <v:imagedata o:title=""/>
                <o:lock v:ext="edit" aspectratio="f"/>
              </v:line>
            </w:pict>
          </mc:Fallback>
        </mc:AlternateContent>
      </w:r>
      <w:r>
        <w:rPr>
          <w:rFonts w:hint="eastAsia" w:ascii="方正小标宋简体" w:hAnsi="方正小标宋简体" w:eastAsia="方正小标宋简体" w:cs="方正小标宋简体"/>
          <w:color w:val="FF0000"/>
          <w:spacing w:val="20"/>
          <w:sz w:val="52"/>
          <w:szCs w:val="52"/>
          <w:lang w:val="en-US" w:eastAsia="zh-CN"/>
        </w:rPr>
        <w:t xml:space="preserve"> </w:t>
      </w:r>
      <w:r>
        <w:rPr>
          <w:rFonts w:hint="eastAsia" w:ascii="方正小标宋简体" w:hAnsi="方正小标宋简体" w:eastAsia="方正小标宋简体" w:cs="方正小标宋简体"/>
          <w:color w:val="FF0000"/>
          <w:spacing w:val="20"/>
          <w:sz w:val="52"/>
          <w:szCs w:val="52"/>
        </w:rPr>
        <w:t>聊</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城</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市</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特</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殊</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教</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育</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学</w:t>
      </w:r>
      <w:r>
        <w:rPr>
          <w:rFonts w:ascii="方正小标宋简体" w:hAnsi="方正小标宋简体" w:eastAsia="方正小标宋简体" w:cs="方正小标宋简体"/>
          <w:color w:val="FF0000"/>
          <w:spacing w:val="20"/>
          <w:sz w:val="52"/>
          <w:szCs w:val="52"/>
        </w:rPr>
        <w:t xml:space="preserve"> </w:t>
      </w:r>
      <w:r>
        <w:rPr>
          <w:rFonts w:hint="eastAsia" w:ascii="方正小标宋简体" w:hAnsi="方正小标宋简体" w:eastAsia="方正小标宋简体" w:cs="方正小标宋简体"/>
          <w:color w:val="FF0000"/>
          <w:spacing w:val="20"/>
          <w:sz w:val="52"/>
          <w:szCs w:val="52"/>
        </w:rPr>
        <w:t>校</w:t>
      </w:r>
    </w:p>
    <w:p w14:paraId="4D2EE3EF">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方正小标宋简体" w:hAnsi="方正小标宋简体" w:eastAsia="方正小标宋简体" w:cs="方正小标宋简体"/>
          <w:kern w:val="0"/>
          <w:sz w:val="44"/>
          <w:szCs w:val="44"/>
          <w:lang w:eastAsia="en-US"/>
        </w:rPr>
      </w:pPr>
    </w:p>
    <w:p w14:paraId="624B0D1B">
      <w:pPr>
        <w:keepNext w:val="0"/>
        <w:keepLines w:val="0"/>
        <w:pageBreakBefore w:val="0"/>
        <w:widowControl w:val="0"/>
        <w:kinsoku/>
        <w:wordWrap/>
        <w:overflowPunct/>
        <w:topLinePunct w:val="0"/>
        <w:autoSpaceDE/>
        <w:autoSpaceDN/>
        <w:bidi w:val="0"/>
        <w:adjustRightInd/>
        <w:snapToGrid/>
        <w:spacing w:after="0" w:line="560" w:lineRule="exact"/>
        <w:jc w:val="center"/>
        <w:textAlignment w:val="auto"/>
        <w:rPr>
          <w:rFonts w:hint="eastAsia" w:ascii="方正小标宋简体" w:hAnsi="方正小标宋简体" w:eastAsia="方正小标宋简体" w:cs="方正小标宋简体"/>
          <w:kern w:val="0"/>
          <w:sz w:val="44"/>
          <w:szCs w:val="44"/>
          <w:lang w:eastAsia="en-US"/>
        </w:rPr>
      </w:pPr>
      <w:r>
        <w:rPr>
          <w:rFonts w:hint="eastAsia" w:ascii="方正小标宋简体" w:hAnsi="方正小标宋简体" w:eastAsia="方正小标宋简体" w:cs="方正小标宋简体"/>
          <w:kern w:val="0"/>
          <w:sz w:val="44"/>
          <w:szCs w:val="44"/>
          <w:lang w:eastAsia="en-US"/>
        </w:rPr>
        <w:t>20</w:t>
      </w:r>
      <w:r>
        <w:rPr>
          <w:rFonts w:hint="eastAsia" w:ascii="方正小标宋简体" w:hAnsi="方正小标宋简体" w:eastAsia="方正小标宋简体" w:cs="方正小标宋简体"/>
          <w:kern w:val="0"/>
          <w:sz w:val="44"/>
          <w:szCs w:val="44"/>
          <w:lang w:val="en-US" w:eastAsia="zh-CN"/>
        </w:rPr>
        <w:t>24—</w:t>
      </w:r>
      <w:r>
        <w:rPr>
          <w:rFonts w:hint="eastAsia" w:ascii="方正小标宋简体" w:hAnsi="方正小标宋简体" w:eastAsia="方正小标宋简体" w:cs="方正小标宋简体"/>
          <w:kern w:val="0"/>
          <w:sz w:val="44"/>
          <w:szCs w:val="44"/>
          <w:lang w:eastAsia="en-US"/>
        </w:rPr>
        <w:t>20</w:t>
      </w:r>
      <w:r>
        <w:rPr>
          <w:rFonts w:hint="eastAsia" w:ascii="方正小标宋简体" w:hAnsi="方正小标宋简体" w:eastAsia="方正小标宋简体" w:cs="方正小标宋简体"/>
          <w:kern w:val="0"/>
          <w:sz w:val="44"/>
          <w:szCs w:val="44"/>
          <w:lang w:val="en-US" w:eastAsia="zh-CN"/>
        </w:rPr>
        <w:t>25</w:t>
      </w:r>
      <w:r>
        <w:rPr>
          <w:rFonts w:hint="eastAsia" w:ascii="方正小标宋简体" w:hAnsi="方正小标宋简体" w:eastAsia="方正小标宋简体" w:cs="方正小标宋简体"/>
          <w:kern w:val="0"/>
          <w:sz w:val="44"/>
          <w:szCs w:val="44"/>
          <w:lang w:eastAsia="en-US"/>
        </w:rPr>
        <w:t xml:space="preserve"> 年度第</w:t>
      </w:r>
      <w:r>
        <w:rPr>
          <w:rFonts w:hint="eastAsia" w:ascii="方正小标宋简体" w:hAnsi="方正小标宋简体" w:eastAsia="方正小标宋简体" w:cs="方正小标宋简体"/>
          <w:kern w:val="0"/>
          <w:sz w:val="44"/>
          <w:szCs w:val="44"/>
          <w:lang w:val="en-US" w:eastAsia="zh-CN"/>
        </w:rPr>
        <w:t>二</w:t>
      </w:r>
      <w:bookmarkStart w:id="1" w:name="_GoBack"/>
      <w:bookmarkEnd w:id="1"/>
      <w:r>
        <w:rPr>
          <w:rFonts w:hint="eastAsia" w:ascii="方正小标宋简体" w:hAnsi="方正小标宋简体" w:eastAsia="方正小标宋简体" w:cs="方正小标宋简体"/>
          <w:kern w:val="0"/>
          <w:sz w:val="44"/>
          <w:szCs w:val="44"/>
          <w:lang w:eastAsia="en-US"/>
        </w:rPr>
        <w:t>学期</w:t>
      </w:r>
      <w:r>
        <w:rPr>
          <w:rFonts w:hint="eastAsia" w:ascii="方正小标宋简体" w:hAnsi="方正小标宋简体" w:eastAsia="方正小标宋简体" w:cs="方正小标宋简体"/>
          <w:kern w:val="0"/>
          <w:sz w:val="44"/>
          <w:szCs w:val="44"/>
          <w:lang w:val="en-US" w:eastAsia="zh-CN"/>
        </w:rPr>
        <w:t>数学</w:t>
      </w:r>
      <w:r>
        <w:rPr>
          <w:rFonts w:hint="eastAsia" w:ascii="方正小标宋简体" w:hAnsi="方正小标宋简体" w:eastAsia="方正小标宋简体" w:cs="方正小标宋简体"/>
          <w:kern w:val="0"/>
          <w:sz w:val="44"/>
          <w:szCs w:val="44"/>
          <w:lang w:eastAsia="en-US"/>
        </w:rPr>
        <w:t>教学计划</w:t>
      </w:r>
    </w:p>
    <w:p w14:paraId="7DA501D2">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Times New Roman"/>
          <w:color w:val="000000"/>
          <w:kern w:val="0"/>
          <w:sz w:val="32"/>
          <w:szCs w:val="32"/>
        </w:rPr>
      </w:pPr>
      <w:r>
        <w:rPr>
          <w:rFonts w:hint="eastAsia" w:ascii="Times New Roman" w:hAnsi="Times New Roman" w:eastAsia="楷体_GB2312" w:cs="Times New Roman"/>
          <w:color w:val="000000"/>
          <w:kern w:val="0"/>
          <w:sz w:val="32"/>
          <w:szCs w:val="32"/>
        </w:rPr>
        <w:t>孙英峰</w:t>
      </w:r>
    </w:p>
    <w:p w14:paraId="2D10B6C3">
      <w:pPr>
        <w:keepNext w:val="0"/>
        <w:keepLines w:val="0"/>
        <w:pageBreakBefore w:val="0"/>
        <w:widowControl w:val="0"/>
        <w:kinsoku/>
        <w:wordWrap/>
        <w:overflowPunct/>
        <w:topLinePunct w:val="0"/>
        <w:autoSpaceDE/>
        <w:autoSpaceDN/>
        <w:bidi w:val="0"/>
        <w:spacing w:after="0" w:line="560" w:lineRule="exact"/>
        <w:jc w:val="center"/>
        <w:textAlignment w:val="auto"/>
        <w:rPr>
          <w:rFonts w:hint="eastAsia" w:ascii="Times New Roman" w:hAnsi="Times New Roman" w:eastAsia="楷体_GB2312" w:cs="Times New Roman"/>
          <w:color w:val="000000"/>
          <w:kern w:val="0"/>
          <w:sz w:val="32"/>
          <w:szCs w:val="32"/>
        </w:rPr>
      </w:pPr>
      <w:r>
        <w:rPr>
          <w:rFonts w:ascii="Times New Roman" w:hAnsi="Times New Roman" w:eastAsia="楷体_GB2312" w:cs="Times New Roman"/>
          <w:color w:val="000000"/>
          <w:kern w:val="0"/>
          <w:sz w:val="32"/>
          <w:szCs w:val="32"/>
        </w:rPr>
        <w:t>2025年</w:t>
      </w:r>
      <w:r>
        <w:rPr>
          <w:rFonts w:hint="eastAsia" w:ascii="Times New Roman" w:hAnsi="Times New Roman" w:eastAsia="楷体_GB2312" w:cs="Times New Roman"/>
          <w:color w:val="000000"/>
          <w:kern w:val="0"/>
          <w:sz w:val="32"/>
          <w:szCs w:val="32"/>
          <w:lang w:val="en-US" w:eastAsia="zh-CN"/>
        </w:rPr>
        <w:t>2</w:t>
      </w:r>
      <w:r>
        <w:rPr>
          <w:rFonts w:ascii="Times New Roman" w:hAnsi="Times New Roman" w:eastAsia="楷体_GB2312" w:cs="Times New Roman"/>
          <w:color w:val="000000"/>
          <w:kern w:val="0"/>
          <w:sz w:val="32"/>
          <w:szCs w:val="32"/>
        </w:rPr>
        <w:t>月</w:t>
      </w:r>
      <w:r>
        <w:rPr>
          <w:rFonts w:hint="eastAsia" w:ascii="Times New Roman" w:hAnsi="Times New Roman" w:eastAsia="楷体_GB2312" w:cs="Times New Roman"/>
          <w:color w:val="000000"/>
          <w:kern w:val="0"/>
          <w:sz w:val="32"/>
          <w:szCs w:val="32"/>
          <w:lang w:val="en-US" w:eastAsia="zh-CN"/>
        </w:rPr>
        <w:t>16</w:t>
      </w:r>
      <w:r>
        <w:rPr>
          <w:rFonts w:ascii="Times New Roman" w:hAnsi="Times New Roman" w:eastAsia="楷体_GB2312" w:cs="Times New Roman"/>
          <w:color w:val="000000"/>
          <w:kern w:val="0"/>
          <w:sz w:val="32"/>
          <w:szCs w:val="32"/>
        </w:rPr>
        <w:t>日</w:t>
      </w:r>
    </w:p>
    <w:p w14:paraId="274BC0AC">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黑体" w:hAnsi="黑体" w:eastAsia="黑体" w:cstheme="minorBidi"/>
          <w:kern w:val="2"/>
          <w:sz w:val="32"/>
          <w:szCs w:val="32"/>
          <w:lang w:val="en-US" w:eastAsia="zh-CN" w:bidi="ar-SA"/>
        </w:rPr>
        <w:t>一、学情分析</w:t>
      </w:r>
    </w:p>
    <w:p w14:paraId="465C920C">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听障8.2班现有12名学生，2名女生，10名男生。学生的听课习惯已初步养成，学习有方法，学习爱好深厚；大部分学生表现为学习目的明确，学习态度端正；大部分学生的抽象思维水平有了一定的提高，具备了一定的学习数学的实力。但个别学生基础知识差，对数学不感兴趣，学习被动，上课不仔细听讲，作业不能按时完成，学习有困难，从上学期的学习表现看，学生的计算的方法与质量以及对解决问题数量关系的分析有待进一步训练与提高。</w:t>
      </w:r>
    </w:p>
    <w:p w14:paraId="59857FA1">
      <w:pPr>
        <w:pStyle w:val="9"/>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outlineLvl w:val="9"/>
        <w:rPr>
          <w:rFonts w:hint="eastAsia" w:ascii="黑体" w:hAnsi="黑体" w:eastAsia="黑体" w:cstheme="minorBidi"/>
          <w:kern w:val="2"/>
          <w:sz w:val="32"/>
          <w:szCs w:val="32"/>
          <w:lang w:val="en-US" w:eastAsia="zh-CN" w:bidi="ar-SA"/>
        </w:rPr>
      </w:pPr>
      <w:r>
        <w:rPr>
          <w:rFonts w:hint="eastAsia" w:ascii="黑体" w:hAnsi="黑体" w:eastAsia="黑体" w:cstheme="minorBidi"/>
          <w:kern w:val="2"/>
          <w:sz w:val="32"/>
          <w:szCs w:val="32"/>
          <w:lang w:val="en-US" w:eastAsia="zh-CN" w:bidi="ar-SA"/>
        </w:rPr>
        <w:t>二、教材分析</w:t>
      </w:r>
    </w:p>
    <w:p w14:paraId="0FAD2D1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default" w:ascii="仿宋" w:hAnsi="仿宋" w:eastAsia="仿宋" w:cs="仿宋"/>
          <w:kern w:val="2"/>
          <w:sz w:val="32"/>
          <w:szCs w:val="32"/>
          <w:lang w:val="en-US" w:eastAsia="zh-CN" w:bidi="ar-SA"/>
        </w:rPr>
      </w:pPr>
      <w:r>
        <w:rPr>
          <w:rFonts w:hint="eastAsia" w:ascii="楷体" w:hAnsi="楷体" w:eastAsia="楷体" w:cs="楷体"/>
          <w:kern w:val="2"/>
          <w:sz w:val="32"/>
          <w:szCs w:val="32"/>
          <w:lang w:val="en-US" w:eastAsia="zh-CN" w:bidi="ar-SA"/>
        </w:rPr>
        <w:t>（一）教学内容</w:t>
      </w:r>
    </w:p>
    <w:p w14:paraId="3CCC00C6">
      <w:pPr>
        <w:keepNext w:val="0"/>
        <w:keepLines w:val="0"/>
        <w:pageBreakBefore w:val="0"/>
        <w:widowControl/>
        <w:suppressLineNumbers w:val="0"/>
        <w:kinsoku/>
        <w:wordWrap/>
        <w:overflowPunct/>
        <w:topLinePunct w:val="0"/>
        <w:autoSpaceDE/>
        <w:autoSpaceDN/>
        <w:bidi w:val="0"/>
        <w:adjustRightInd/>
        <w:snapToGrid/>
        <w:spacing w:line="560" w:lineRule="exact"/>
        <w:ind w:firstLine="440" w:firstLineChars="200"/>
        <w:jc w:val="left"/>
        <w:textAlignment w:val="auto"/>
        <w:rPr>
          <w:rFonts w:hint="eastAsia" w:ascii="仿宋" w:hAnsi="仿宋" w:eastAsia="仿宋" w:cs="仿宋"/>
          <w:kern w:val="2"/>
          <w:sz w:val="32"/>
          <w:szCs w:val="32"/>
          <w:lang w:val="en-US" w:eastAsia="zh-CN" w:bidi="ar-SA"/>
        </w:rPr>
      </w:pPr>
      <w:r>
        <w:rPr>
          <w:rFonts w:ascii="等线" w:hAnsi="等线" w:eastAsia="等线" w:cs="等线"/>
          <w:b w:val="0"/>
          <w:bCs w:val="0"/>
          <w:caps w:val="0"/>
          <w:sz w:val="22"/>
          <w:szCs w:val="22"/>
        </w:rPr>
        <w:t> </w:t>
      </w:r>
      <w:r>
        <w:rPr>
          <w:rFonts w:hint="eastAsia" w:ascii="仿宋" w:hAnsi="仿宋" w:eastAsia="仿宋" w:cs="仿宋"/>
          <w:kern w:val="2"/>
          <w:sz w:val="32"/>
          <w:szCs w:val="32"/>
          <w:lang w:val="en-US" w:eastAsia="zh-CN" w:bidi="ar-SA"/>
        </w:rPr>
        <w:t>本学期使用的人教版聋校八年级数学下册教材，共编排了四个章节，依次为：第一章《有理数》、第二章《有理数的运算》、第三章《代数式》、第四章《整式的加减》、第五章《几何图形》、第六章《线段和角》、第七章《数据的收集、整理与描述》。这七个章节的内容涵盖了“数与代数”、“图形与几何”两个领域，是初中数学学习的重要基础。</w:t>
      </w:r>
    </w:p>
    <w:p w14:paraId="4B3151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（二）</w:t>
      </w:r>
      <w:r>
        <w:rPr>
          <w:rFonts w:hint="default" w:ascii="楷体" w:hAnsi="楷体" w:eastAsia="楷体" w:cs="楷体"/>
          <w:kern w:val="2"/>
          <w:sz w:val="32"/>
          <w:szCs w:val="32"/>
          <w:lang w:val="en-US" w:eastAsia="zh-CN" w:bidi="ar-SA"/>
        </w:rPr>
        <w:t>教学目标</w:t>
      </w:r>
    </w:p>
    <w:p w14:paraId="17A6878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w:t>
      </w:r>
      <w:r>
        <w:rPr>
          <w:rFonts w:hint="default" w:ascii="仿宋" w:hAnsi="仿宋" w:eastAsia="仿宋" w:cs="仿宋"/>
          <w:kern w:val="2"/>
          <w:sz w:val="32"/>
          <w:szCs w:val="32"/>
          <w:lang w:val="en-US" w:eastAsia="zh-CN" w:bidi="ar-SA"/>
        </w:rPr>
        <w:t>知识与技能：理解有理数的概念，掌握有理数的运算法则和运算律，会用数轴表示有理数及其相反数和绝对值。</w:t>
      </w:r>
    </w:p>
    <w:p w14:paraId="16B436F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掌握单项式、多项式以及整式的加减运算法则，能进行简单的整式运算。</w:t>
      </w:r>
    </w:p>
    <w:p w14:paraId="2D21AD0A">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理解一元一次方程的概念，掌握解一元一次方程的一般步骤，能用一元一次方程解决简单的实际问题。</w:t>
      </w:r>
    </w:p>
    <w:p w14:paraId="405C5576">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认识基本几何图形，掌握基本作图能力，理解点、线、面等基本概念。</w:t>
      </w:r>
    </w:p>
    <w:p w14:paraId="2F687BF4">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w:t>
      </w:r>
      <w:r>
        <w:rPr>
          <w:rFonts w:hint="default" w:ascii="仿宋" w:hAnsi="仿宋" w:eastAsia="仿宋" w:cs="仿宋"/>
          <w:kern w:val="2"/>
          <w:sz w:val="32"/>
          <w:szCs w:val="32"/>
          <w:lang w:val="en-US" w:eastAsia="zh-CN" w:bidi="ar-SA"/>
        </w:rPr>
        <w:t>过程与方法：通过探索、学习，使学生逐步学会正确、合理地进行运算，逐步学会观察、分析、综合、抽象，会用归纳、演绎、类比进行简单地推理。</w:t>
      </w:r>
    </w:p>
    <w:p w14:paraId="2469E199">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培养学生的几何思维模式，学会从具体情境中抽象出数学符号和图形，理解其本质特征。</w:t>
      </w:r>
    </w:p>
    <w:p w14:paraId="2C19308D">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w:t>
      </w:r>
      <w:r>
        <w:rPr>
          <w:rFonts w:hint="default" w:ascii="仿宋" w:hAnsi="仿宋" w:eastAsia="仿宋" w:cs="仿宋"/>
          <w:kern w:val="2"/>
          <w:sz w:val="32"/>
          <w:szCs w:val="32"/>
          <w:lang w:val="en-US" w:eastAsia="zh-CN" w:bidi="ar-SA"/>
        </w:rPr>
        <w:t>情感与态度：培养学生学习数学的兴趣，认识数学源自生活实践，最终回归生活。</w:t>
      </w:r>
    </w:p>
    <w:p w14:paraId="0F9E51DE">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培养学生认真勤奋、独立思考、合作交流、反思质疑的学习习惯。</w:t>
      </w:r>
    </w:p>
    <w:p w14:paraId="0D227C68">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theme="minorBidi"/>
          <w:kern w:val="2"/>
          <w:sz w:val="32"/>
          <w:szCs w:val="32"/>
          <w:lang w:val="en-US" w:eastAsia="zh-CN" w:bidi="ar-SA"/>
        </w:rPr>
      </w:pPr>
      <w:r>
        <w:rPr>
          <w:rFonts w:hint="eastAsia" w:ascii="黑体" w:hAnsi="黑体" w:eastAsia="黑体" w:cstheme="minorBidi"/>
          <w:kern w:val="2"/>
          <w:sz w:val="32"/>
          <w:szCs w:val="32"/>
          <w:lang w:val="en-US" w:eastAsia="zh-CN" w:bidi="ar-SA"/>
        </w:rPr>
        <w:t>三、教学措施</w:t>
      </w:r>
    </w:p>
    <w:p w14:paraId="5F2BAEB3">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精心备课：认真研读新课程标准，钻研新教材，结合学生实际情况，进行针对性的备课，精心设置课堂教学内容和模式。</w:t>
      </w:r>
    </w:p>
    <w:p w14:paraId="45E899C8">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分层教学：开展分层教学实验，使不同的学生学到不同的知识，使人人能学到有用的知识，使不同的人得到不同的发展，获得成功感。加强练习：适当加强练习，加深对基本知识和基本技能的掌握，但不一味追求练习的数量，注重质量和效率。</w:t>
      </w:r>
    </w:p>
    <w:p w14:paraId="7FC5A18C">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激发兴趣：开展丰富多彩的课外活动，向学生介绍数学家、数学史、数学趣题，激发学生的学习兴趣，挖掘学生的潜能，培养数学特长生。</w:t>
      </w:r>
    </w:p>
    <w:p w14:paraId="4B7D0990">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学法指导：注重对学生进行学法指导，特别是听法和思法的指导，帮助学生适应初中学习节奏，提高学习效率。</w:t>
      </w:r>
    </w:p>
    <w:p w14:paraId="29DA1EA5">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利用现代信息技术：重视现代信息技术的运用，着重利用计算器、多媒体等教学工具，丰富学习资源，提高教学效果。</w:t>
      </w:r>
    </w:p>
    <w:p w14:paraId="56322CE9">
      <w:pPr>
        <w:keepNext w:val="0"/>
        <w:keepLines w:val="0"/>
        <w:pageBreakBefore w:val="0"/>
        <w:widowControl/>
        <w:numPr>
          <w:ilvl w:val="0"/>
          <w:numId w:val="0"/>
        </w:numPr>
        <w:suppressLineNumbers w:val="0"/>
        <w:kinsoku/>
        <w:wordWrap/>
        <w:overflowPunct/>
        <w:topLinePunct w:val="0"/>
        <w:autoSpaceDE/>
        <w:autoSpaceDN/>
        <w:bidi w:val="0"/>
        <w:adjustRightInd/>
        <w:snapToGrid/>
        <w:spacing w:beforeAutospacing="0" w:after="0" w:afterAutospacing="0" w:line="560" w:lineRule="exact"/>
        <w:textAlignment w:val="auto"/>
      </w:pPr>
    </w:p>
    <w:p w14:paraId="1BFC7348">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0D1A1BA3">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35A71770">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3BE9AE90">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4ED73E7E">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6631A238">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32F047AF">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05417A0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239874A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0434A844">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167892B1">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71947726">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2C25F25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36CF9F1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78B1E64D">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7EE89248">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eastAsia" w:ascii="仿宋" w:hAnsi="仿宋" w:eastAsia="仿宋" w:cs="仿宋"/>
          <w:b/>
          <w:bCs/>
          <w:kern w:val="2"/>
          <w:sz w:val="32"/>
          <w:szCs w:val="32"/>
          <w:lang w:val="en-US" w:eastAsia="zh-CN" w:bidi="ar-SA"/>
        </w:rPr>
      </w:pPr>
    </w:p>
    <w:p w14:paraId="549397AB">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20" w:lineRule="exact"/>
        <w:ind w:right="0" w:rightChars="0"/>
        <w:jc w:val="center"/>
        <w:textAlignment w:val="auto"/>
        <w:rPr>
          <w:rFonts w:hint="default" w:ascii="仿宋" w:hAnsi="仿宋" w:eastAsia="仿宋" w:cs="仿宋"/>
          <w:b/>
          <w:bCs/>
          <w:kern w:val="2"/>
          <w:sz w:val="32"/>
          <w:szCs w:val="32"/>
          <w:lang w:val="en-US" w:eastAsia="zh-CN" w:bidi="ar-SA"/>
        </w:rPr>
      </w:pPr>
      <w:r>
        <w:rPr>
          <w:rFonts w:hint="eastAsia" w:ascii="仿宋" w:hAnsi="仿宋" w:eastAsia="仿宋" w:cs="仿宋"/>
          <w:b/>
          <w:bCs/>
          <w:kern w:val="2"/>
          <w:sz w:val="32"/>
          <w:szCs w:val="32"/>
          <w:lang w:val="en-US" w:eastAsia="zh-CN" w:bidi="ar-SA"/>
        </w:rPr>
        <w:t>教学进度表</w:t>
      </w:r>
    </w:p>
    <w:tbl>
      <w:tblPr>
        <w:tblStyle w:val="6"/>
        <w:tblW w:w="86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072"/>
        <w:gridCol w:w="3964"/>
        <w:gridCol w:w="1346"/>
      </w:tblGrid>
      <w:tr w14:paraId="5F651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tcPr>
          <w:p w14:paraId="08B9A5E0">
            <w:pPr>
              <w:jc w:val="center"/>
              <w:rPr>
                <w:rFonts w:ascii="仿宋" w:hAnsi="仿宋" w:eastAsia="仿宋"/>
                <w:b/>
                <w:sz w:val="28"/>
                <w:szCs w:val="28"/>
              </w:rPr>
            </w:pPr>
            <w:bookmarkStart w:id="0" w:name="_Hlk508185129"/>
            <w:r>
              <w:rPr>
                <w:rFonts w:hint="eastAsia" w:ascii="仿宋" w:hAnsi="仿宋" w:eastAsia="仿宋"/>
                <w:b/>
                <w:sz w:val="28"/>
                <w:szCs w:val="28"/>
              </w:rPr>
              <w:t>周次</w:t>
            </w:r>
          </w:p>
        </w:tc>
        <w:tc>
          <w:tcPr>
            <w:tcW w:w="2072" w:type="dxa"/>
          </w:tcPr>
          <w:p w14:paraId="51EF7FBB">
            <w:pPr>
              <w:jc w:val="center"/>
              <w:rPr>
                <w:rFonts w:ascii="仿宋" w:hAnsi="仿宋" w:eastAsia="仿宋"/>
                <w:b/>
                <w:sz w:val="28"/>
                <w:szCs w:val="28"/>
              </w:rPr>
            </w:pPr>
            <w:r>
              <w:rPr>
                <w:rFonts w:hint="eastAsia" w:ascii="仿宋" w:hAnsi="仿宋" w:eastAsia="仿宋"/>
                <w:b/>
                <w:sz w:val="28"/>
                <w:szCs w:val="28"/>
              </w:rPr>
              <w:t>日期</w:t>
            </w:r>
          </w:p>
        </w:tc>
        <w:tc>
          <w:tcPr>
            <w:tcW w:w="3964" w:type="dxa"/>
          </w:tcPr>
          <w:p w14:paraId="6828E597">
            <w:pPr>
              <w:ind w:firstLine="1124" w:firstLineChars="400"/>
              <w:rPr>
                <w:rFonts w:ascii="仿宋" w:hAnsi="仿宋" w:eastAsia="仿宋"/>
                <w:b/>
                <w:sz w:val="28"/>
                <w:szCs w:val="28"/>
              </w:rPr>
            </w:pPr>
            <w:r>
              <w:rPr>
                <w:rFonts w:hint="eastAsia" w:ascii="仿宋" w:hAnsi="仿宋" w:eastAsia="仿宋"/>
                <w:b/>
                <w:sz w:val="28"/>
                <w:szCs w:val="28"/>
              </w:rPr>
              <w:t>教材章节内容</w:t>
            </w:r>
          </w:p>
        </w:tc>
        <w:tc>
          <w:tcPr>
            <w:tcW w:w="1346" w:type="dxa"/>
          </w:tcPr>
          <w:p w14:paraId="7367FAF6">
            <w:pPr>
              <w:jc w:val="center"/>
              <w:rPr>
                <w:rFonts w:ascii="仿宋" w:hAnsi="仿宋" w:eastAsia="仿宋"/>
                <w:b/>
                <w:sz w:val="28"/>
                <w:szCs w:val="28"/>
              </w:rPr>
            </w:pPr>
            <w:r>
              <w:rPr>
                <w:rFonts w:hint="eastAsia" w:ascii="仿宋" w:hAnsi="仿宋" w:eastAsia="仿宋"/>
                <w:b/>
                <w:sz w:val="28"/>
                <w:szCs w:val="28"/>
              </w:rPr>
              <w:t>课时</w:t>
            </w:r>
          </w:p>
        </w:tc>
      </w:tr>
      <w:tr w14:paraId="2A4E7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068C196D">
            <w:pPr>
              <w:jc w:val="center"/>
              <w:rPr>
                <w:rFonts w:hint="eastAsia" w:ascii="仿宋" w:hAnsi="仿宋" w:eastAsia="仿宋"/>
                <w:b/>
                <w:sz w:val="21"/>
                <w:szCs w:val="21"/>
                <w:lang w:val="en-US" w:eastAsia="zh-CN"/>
              </w:rPr>
            </w:pPr>
            <w:r>
              <w:rPr>
                <w:rFonts w:hint="eastAsia" w:ascii="仿宋" w:hAnsi="仿宋" w:eastAsia="仿宋"/>
                <w:color w:val="000000" w:themeColor="text1"/>
                <w:sz w:val="21"/>
                <w:szCs w:val="21"/>
                <w14:textFill>
                  <w14:solidFill>
                    <w14:schemeClr w14:val="tx1"/>
                  </w14:solidFill>
                </w14:textFill>
              </w:rPr>
              <w:t>第一周</w:t>
            </w:r>
          </w:p>
        </w:tc>
        <w:tc>
          <w:tcPr>
            <w:tcW w:w="2072" w:type="dxa"/>
            <w:vAlign w:val="center"/>
          </w:tcPr>
          <w:p w14:paraId="249E0C50">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2.17-2.21</w:t>
            </w:r>
          </w:p>
        </w:tc>
        <w:tc>
          <w:tcPr>
            <w:tcW w:w="3964" w:type="dxa"/>
          </w:tcPr>
          <w:p w14:paraId="6BB8C11E">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正数和负数、有理数</w:t>
            </w:r>
          </w:p>
        </w:tc>
        <w:tc>
          <w:tcPr>
            <w:tcW w:w="1346" w:type="dxa"/>
            <w:vAlign w:val="top"/>
          </w:tcPr>
          <w:p w14:paraId="6B772BC4">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70F2B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276" w:type="dxa"/>
            <w:vAlign w:val="center"/>
          </w:tcPr>
          <w:p w14:paraId="7E0B638C">
            <w:pPr>
              <w:jc w:val="center"/>
              <w:rPr>
                <w:rFonts w:hint="eastAsia" w:ascii="仿宋" w:hAnsi="仿宋" w:eastAsia="仿宋"/>
                <w:b/>
                <w:sz w:val="21"/>
                <w:szCs w:val="21"/>
                <w:lang w:val="en-US" w:eastAsia="zh-CN"/>
              </w:rPr>
            </w:pPr>
            <w:r>
              <w:rPr>
                <w:rFonts w:hint="eastAsia" w:ascii="仿宋" w:hAnsi="仿宋" w:eastAsia="仿宋"/>
                <w:color w:val="000000" w:themeColor="text1"/>
                <w:sz w:val="21"/>
                <w:szCs w:val="21"/>
                <w:lang w:val="en-US" w:eastAsia="zh-CN"/>
                <w14:textFill>
                  <w14:solidFill>
                    <w14:schemeClr w14:val="tx1"/>
                  </w14:solidFill>
                </w14:textFill>
              </w:rPr>
              <w:t>第二周</w:t>
            </w:r>
          </w:p>
        </w:tc>
        <w:tc>
          <w:tcPr>
            <w:tcW w:w="2072" w:type="dxa"/>
            <w:vAlign w:val="center"/>
          </w:tcPr>
          <w:p w14:paraId="73D4A427">
            <w:pPr>
              <w:jc w:val="center"/>
              <w:rPr>
                <w:rFonts w:hint="default"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2.24-2.28</w:t>
            </w:r>
          </w:p>
        </w:tc>
        <w:tc>
          <w:tcPr>
            <w:tcW w:w="3964" w:type="dxa"/>
          </w:tcPr>
          <w:p w14:paraId="5E79C545">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有理数的加减法</w:t>
            </w:r>
          </w:p>
        </w:tc>
        <w:tc>
          <w:tcPr>
            <w:tcW w:w="1346" w:type="dxa"/>
            <w:vAlign w:val="top"/>
          </w:tcPr>
          <w:p w14:paraId="670E0DE0">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4A1B5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4F8A4271">
            <w:pPr>
              <w:jc w:val="center"/>
              <w:rPr>
                <w:rFonts w:hint="eastAsia" w:ascii="仿宋" w:hAnsi="仿宋" w:eastAsia="仿宋"/>
                <w:b/>
                <w:sz w:val="21"/>
                <w:szCs w:val="21"/>
                <w:lang w:val="en-US" w:eastAsia="zh-CN"/>
              </w:rPr>
            </w:pPr>
            <w:r>
              <w:rPr>
                <w:rFonts w:hint="eastAsia" w:ascii="仿宋" w:hAnsi="仿宋" w:eastAsia="仿宋"/>
                <w:color w:val="000000" w:themeColor="text1"/>
                <w:sz w:val="21"/>
                <w:szCs w:val="21"/>
                <w:lang w:val="en-US" w:eastAsia="zh-CN"/>
                <w14:textFill>
                  <w14:solidFill>
                    <w14:schemeClr w14:val="tx1"/>
                  </w14:solidFill>
                </w14:textFill>
              </w:rPr>
              <w:t>第三周</w:t>
            </w:r>
          </w:p>
        </w:tc>
        <w:tc>
          <w:tcPr>
            <w:tcW w:w="2072" w:type="dxa"/>
            <w:vAlign w:val="center"/>
          </w:tcPr>
          <w:p w14:paraId="11651A8D">
            <w:pPr>
              <w:jc w:val="center"/>
              <w:rPr>
                <w:rFonts w:hint="default"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3.3-3.7</w:t>
            </w:r>
          </w:p>
        </w:tc>
        <w:tc>
          <w:tcPr>
            <w:tcW w:w="3964" w:type="dxa"/>
            <w:vAlign w:val="top"/>
          </w:tcPr>
          <w:p w14:paraId="723EA396">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有理数的乘除法</w:t>
            </w:r>
          </w:p>
        </w:tc>
        <w:tc>
          <w:tcPr>
            <w:tcW w:w="1346" w:type="dxa"/>
            <w:vAlign w:val="top"/>
          </w:tcPr>
          <w:p w14:paraId="68837C81">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016B9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126717C8">
            <w:pPr>
              <w:jc w:val="center"/>
              <w:rPr>
                <w:rFonts w:hint="eastAsia" w:ascii="仿宋" w:hAnsi="仿宋" w:eastAsia="仿宋"/>
                <w:b/>
                <w:sz w:val="21"/>
                <w:szCs w:val="21"/>
                <w:lang w:val="en-US" w:eastAsia="zh-CN"/>
              </w:rPr>
            </w:pPr>
            <w:r>
              <w:rPr>
                <w:rFonts w:hint="eastAsia" w:ascii="仿宋" w:hAnsi="仿宋" w:eastAsia="仿宋"/>
                <w:color w:val="000000" w:themeColor="text1"/>
                <w:sz w:val="21"/>
                <w:szCs w:val="21"/>
                <w:lang w:val="en-US" w:eastAsia="zh-CN"/>
                <w14:textFill>
                  <w14:solidFill>
                    <w14:schemeClr w14:val="tx1"/>
                  </w14:solidFill>
                </w14:textFill>
              </w:rPr>
              <w:t>第四周</w:t>
            </w:r>
          </w:p>
        </w:tc>
        <w:tc>
          <w:tcPr>
            <w:tcW w:w="2072" w:type="dxa"/>
            <w:vAlign w:val="center"/>
          </w:tcPr>
          <w:p w14:paraId="21CF445E">
            <w:pPr>
              <w:jc w:val="center"/>
              <w:rPr>
                <w:rFonts w:hint="default"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3.10-3.14</w:t>
            </w:r>
          </w:p>
        </w:tc>
        <w:tc>
          <w:tcPr>
            <w:tcW w:w="3964" w:type="dxa"/>
            <w:vAlign w:val="top"/>
          </w:tcPr>
          <w:p w14:paraId="15445DD1">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有理数的乘方、整理和复习</w:t>
            </w:r>
          </w:p>
        </w:tc>
        <w:tc>
          <w:tcPr>
            <w:tcW w:w="1346" w:type="dxa"/>
            <w:vAlign w:val="top"/>
          </w:tcPr>
          <w:p w14:paraId="41DE8664">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5EB6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34FB63C5">
            <w:pPr>
              <w:tabs>
                <w:tab w:val="left" w:pos="576"/>
              </w:tabs>
              <w:jc w:val="center"/>
              <w:rPr>
                <w:rFonts w:hint="eastAsia" w:ascii="仿宋" w:hAnsi="仿宋" w:eastAsia="仿宋"/>
                <w:b/>
                <w:sz w:val="21"/>
                <w:szCs w:val="21"/>
                <w:lang w:val="en-US" w:eastAsia="zh-CN"/>
              </w:rPr>
            </w:pPr>
            <w:r>
              <w:rPr>
                <w:rFonts w:hint="eastAsia" w:ascii="仿宋" w:hAnsi="仿宋" w:eastAsia="仿宋"/>
                <w:color w:val="000000" w:themeColor="text1"/>
                <w:sz w:val="21"/>
                <w:szCs w:val="21"/>
                <w:lang w:val="en-US" w:eastAsia="zh-CN"/>
                <w14:textFill>
                  <w14:solidFill>
                    <w14:schemeClr w14:val="tx1"/>
                  </w14:solidFill>
                </w14:textFill>
              </w:rPr>
              <w:t>第五周</w:t>
            </w:r>
          </w:p>
        </w:tc>
        <w:tc>
          <w:tcPr>
            <w:tcW w:w="2072" w:type="dxa"/>
            <w:vAlign w:val="center"/>
          </w:tcPr>
          <w:p w14:paraId="455632D0">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3.17-3.21</w:t>
            </w:r>
          </w:p>
        </w:tc>
        <w:tc>
          <w:tcPr>
            <w:tcW w:w="3964" w:type="dxa"/>
            <w:vAlign w:val="top"/>
          </w:tcPr>
          <w:p w14:paraId="53B51E4C">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代数式、列代数式</w:t>
            </w:r>
          </w:p>
        </w:tc>
        <w:tc>
          <w:tcPr>
            <w:tcW w:w="1346" w:type="dxa"/>
            <w:vAlign w:val="top"/>
          </w:tcPr>
          <w:p w14:paraId="33EA9906">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6CE2F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630EE496">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第六周</w:t>
            </w:r>
          </w:p>
        </w:tc>
        <w:tc>
          <w:tcPr>
            <w:tcW w:w="2072" w:type="dxa"/>
            <w:vAlign w:val="center"/>
          </w:tcPr>
          <w:p w14:paraId="419EC887">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3.24-3.28</w:t>
            </w:r>
          </w:p>
        </w:tc>
        <w:tc>
          <w:tcPr>
            <w:tcW w:w="3964" w:type="dxa"/>
            <w:vAlign w:val="top"/>
          </w:tcPr>
          <w:p w14:paraId="18120D02">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代数式的值、数学活动、整理和复习</w:t>
            </w:r>
          </w:p>
        </w:tc>
        <w:tc>
          <w:tcPr>
            <w:tcW w:w="1346" w:type="dxa"/>
            <w:vAlign w:val="top"/>
          </w:tcPr>
          <w:p w14:paraId="76652A0B">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696C7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42FAF08E">
            <w:pPr>
              <w:jc w:val="center"/>
              <w:rPr>
                <w:rFonts w:hint="default"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第七周</w:t>
            </w:r>
          </w:p>
        </w:tc>
        <w:tc>
          <w:tcPr>
            <w:tcW w:w="2072" w:type="dxa"/>
            <w:vAlign w:val="center"/>
          </w:tcPr>
          <w:p w14:paraId="5EFDF943">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3.31-4.3</w:t>
            </w:r>
          </w:p>
        </w:tc>
        <w:tc>
          <w:tcPr>
            <w:tcW w:w="3964" w:type="dxa"/>
            <w:vAlign w:val="top"/>
          </w:tcPr>
          <w:p w14:paraId="3FAA5A2F">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整式、整式的加减</w:t>
            </w:r>
          </w:p>
        </w:tc>
        <w:tc>
          <w:tcPr>
            <w:tcW w:w="1346" w:type="dxa"/>
            <w:vAlign w:val="top"/>
          </w:tcPr>
          <w:p w14:paraId="445B4BDC">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6BC1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5F5F7079">
            <w:pPr>
              <w:jc w:val="center"/>
              <w:rPr>
                <w:rFonts w:hint="eastAsia" w:ascii="仿宋" w:hAnsi="仿宋" w:eastAsia="仿宋" w:cstheme="minorBidi"/>
                <w:color w:val="000000" w:themeColor="text1"/>
                <w:kern w:val="2"/>
                <w:sz w:val="21"/>
                <w:szCs w:val="21"/>
                <w:lang w:val="en-US" w:eastAsia="zh-CN" w:bidi="ar-SA"/>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第八周</w:t>
            </w:r>
          </w:p>
        </w:tc>
        <w:tc>
          <w:tcPr>
            <w:tcW w:w="2072" w:type="dxa"/>
            <w:vAlign w:val="center"/>
          </w:tcPr>
          <w:p w14:paraId="5F28CE98">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4.7-4.11</w:t>
            </w:r>
          </w:p>
        </w:tc>
        <w:tc>
          <w:tcPr>
            <w:tcW w:w="3964" w:type="dxa"/>
            <w:vAlign w:val="top"/>
          </w:tcPr>
          <w:p w14:paraId="1865F52B">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数学活动、整理和复习</w:t>
            </w:r>
          </w:p>
        </w:tc>
        <w:tc>
          <w:tcPr>
            <w:tcW w:w="1346" w:type="dxa"/>
            <w:vAlign w:val="top"/>
          </w:tcPr>
          <w:p w14:paraId="0724D18F">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58BAF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74328149">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第九周</w:t>
            </w:r>
          </w:p>
        </w:tc>
        <w:tc>
          <w:tcPr>
            <w:tcW w:w="2072" w:type="dxa"/>
            <w:vAlign w:val="center"/>
          </w:tcPr>
          <w:p w14:paraId="0B42C5FD">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4.14-4.18</w:t>
            </w:r>
          </w:p>
        </w:tc>
        <w:tc>
          <w:tcPr>
            <w:tcW w:w="3964" w:type="dxa"/>
            <w:vAlign w:val="top"/>
          </w:tcPr>
          <w:p w14:paraId="0E1E4BBC">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几何图形</w:t>
            </w:r>
          </w:p>
        </w:tc>
        <w:tc>
          <w:tcPr>
            <w:tcW w:w="1346" w:type="dxa"/>
            <w:vAlign w:val="top"/>
          </w:tcPr>
          <w:p w14:paraId="115448B2">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1AA66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11F9E329">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第十周</w:t>
            </w:r>
          </w:p>
        </w:tc>
        <w:tc>
          <w:tcPr>
            <w:tcW w:w="2072" w:type="dxa"/>
            <w:vAlign w:val="center"/>
          </w:tcPr>
          <w:p w14:paraId="57FF7A53">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4.21-4.25</w:t>
            </w:r>
          </w:p>
        </w:tc>
        <w:tc>
          <w:tcPr>
            <w:tcW w:w="3964" w:type="dxa"/>
            <w:vAlign w:val="top"/>
          </w:tcPr>
          <w:p w14:paraId="5CB8A735">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点、线、面、体</w:t>
            </w:r>
          </w:p>
        </w:tc>
        <w:tc>
          <w:tcPr>
            <w:tcW w:w="1346" w:type="dxa"/>
            <w:vAlign w:val="top"/>
          </w:tcPr>
          <w:p w14:paraId="34554BFE">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7D5A4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21DE8FD5">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第十一周</w:t>
            </w:r>
          </w:p>
        </w:tc>
        <w:tc>
          <w:tcPr>
            <w:tcW w:w="2072" w:type="dxa"/>
            <w:vAlign w:val="center"/>
          </w:tcPr>
          <w:p w14:paraId="5F3F39CA">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4.28-4.30</w:t>
            </w:r>
          </w:p>
        </w:tc>
        <w:tc>
          <w:tcPr>
            <w:tcW w:w="3964" w:type="dxa"/>
            <w:vAlign w:val="top"/>
          </w:tcPr>
          <w:p w14:paraId="64BB2096">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数学活动、整理与复习</w:t>
            </w:r>
          </w:p>
        </w:tc>
        <w:tc>
          <w:tcPr>
            <w:tcW w:w="1346" w:type="dxa"/>
            <w:vAlign w:val="top"/>
          </w:tcPr>
          <w:p w14:paraId="7B90D3CD">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620C7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44A2F18B">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第十二周</w:t>
            </w:r>
          </w:p>
        </w:tc>
        <w:tc>
          <w:tcPr>
            <w:tcW w:w="2072" w:type="dxa"/>
            <w:vAlign w:val="center"/>
          </w:tcPr>
          <w:p w14:paraId="37D9C2D4">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5.5-5.9</w:t>
            </w:r>
          </w:p>
        </w:tc>
        <w:tc>
          <w:tcPr>
            <w:tcW w:w="3964" w:type="dxa"/>
            <w:vAlign w:val="top"/>
          </w:tcPr>
          <w:p w14:paraId="69C3D970">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期中考察</w:t>
            </w:r>
          </w:p>
        </w:tc>
        <w:tc>
          <w:tcPr>
            <w:tcW w:w="1346" w:type="dxa"/>
            <w:vAlign w:val="top"/>
          </w:tcPr>
          <w:p w14:paraId="32B04CBD">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27218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1E1E83C3">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第十三周</w:t>
            </w:r>
          </w:p>
        </w:tc>
        <w:tc>
          <w:tcPr>
            <w:tcW w:w="2072" w:type="dxa"/>
            <w:vAlign w:val="center"/>
          </w:tcPr>
          <w:p w14:paraId="525D5117">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5.12-5.16</w:t>
            </w:r>
          </w:p>
        </w:tc>
        <w:tc>
          <w:tcPr>
            <w:tcW w:w="3964" w:type="dxa"/>
            <w:vAlign w:val="top"/>
          </w:tcPr>
          <w:p w14:paraId="19F67F75">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直线、射线、线段</w:t>
            </w:r>
          </w:p>
        </w:tc>
        <w:tc>
          <w:tcPr>
            <w:tcW w:w="1346" w:type="dxa"/>
            <w:vAlign w:val="top"/>
          </w:tcPr>
          <w:p w14:paraId="60E2A6AA">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7DA0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5497A571">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第十四周</w:t>
            </w:r>
          </w:p>
        </w:tc>
        <w:tc>
          <w:tcPr>
            <w:tcW w:w="2072" w:type="dxa"/>
            <w:vAlign w:val="center"/>
          </w:tcPr>
          <w:p w14:paraId="280BEFB7">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5.19-5.23</w:t>
            </w:r>
          </w:p>
        </w:tc>
        <w:tc>
          <w:tcPr>
            <w:tcW w:w="3964" w:type="dxa"/>
            <w:vAlign w:val="top"/>
          </w:tcPr>
          <w:p w14:paraId="0C6CABE0">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角</w:t>
            </w:r>
          </w:p>
        </w:tc>
        <w:tc>
          <w:tcPr>
            <w:tcW w:w="1346" w:type="dxa"/>
            <w:vAlign w:val="top"/>
          </w:tcPr>
          <w:p w14:paraId="7CEAB211">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3BDC7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21DA012F">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第十五周</w:t>
            </w:r>
          </w:p>
        </w:tc>
        <w:tc>
          <w:tcPr>
            <w:tcW w:w="2072" w:type="dxa"/>
            <w:vAlign w:val="center"/>
          </w:tcPr>
          <w:p w14:paraId="14DAEEA1">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5.26-5.30</w:t>
            </w:r>
          </w:p>
        </w:tc>
        <w:tc>
          <w:tcPr>
            <w:tcW w:w="3964" w:type="dxa"/>
            <w:shd w:val="clear" w:color="auto" w:fill="auto"/>
            <w:vAlign w:val="top"/>
          </w:tcPr>
          <w:p w14:paraId="5A29FD87">
            <w:pPr>
              <w:spacing w:before="234" w:line="265" w:lineRule="auto"/>
              <w:ind w:right="368" w:rightChars="0"/>
              <w:jc w:val="center"/>
              <w:rPr>
                <w:rFonts w:hint="default" w:ascii="仿宋" w:hAnsi="仿宋" w:eastAsia="仿宋" w:cs="仿宋"/>
                <w:b/>
                <w:bCs/>
                <w:spacing w:val="14"/>
                <w:kern w:val="2"/>
                <w:sz w:val="23"/>
                <w:szCs w:val="23"/>
                <w:lang w:val="en-US" w:eastAsia="zh-CN" w:bidi="ar-SA"/>
              </w:rPr>
            </w:pPr>
            <w:r>
              <w:rPr>
                <w:rFonts w:hint="eastAsia" w:ascii="仿宋" w:hAnsi="仿宋" w:eastAsia="仿宋" w:cs="仿宋"/>
                <w:b/>
                <w:bCs/>
                <w:spacing w:val="14"/>
                <w:sz w:val="23"/>
                <w:szCs w:val="23"/>
                <w:lang w:val="en-US" w:eastAsia="zh-CN"/>
              </w:rPr>
              <w:t>数学活动、整理和复习</w:t>
            </w:r>
          </w:p>
        </w:tc>
        <w:tc>
          <w:tcPr>
            <w:tcW w:w="1346" w:type="dxa"/>
            <w:vAlign w:val="top"/>
          </w:tcPr>
          <w:p w14:paraId="210039A1">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621D2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10A103A0">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第十六周</w:t>
            </w:r>
          </w:p>
        </w:tc>
        <w:tc>
          <w:tcPr>
            <w:tcW w:w="2072" w:type="dxa"/>
            <w:vAlign w:val="center"/>
          </w:tcPr>
          <w:p w14:paraId="3864A806">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6.2-6.6</w:t>
            </w:r>
          </w:p>
        </w:tc>
        <w:tc>
          <w:tcPr>
            <w:tcW w:w="3964" w:type="dxa"/>
            <w:shd w:val="clear" w:color="auto" w:fill="auto"/>
            <w:vAlign w:val="top"/>
          </w:tcPr>
          <w:p w14:paraId="2F90F313">
            <w:pPr>
              <w:spacing w:before="234" w:line="265" w:lineRule="auto"/>
              <w:ind w:right="368" w:rightChars="0"/>
              <w:jc w:val="center"/>
              <w:rPr>
                <w:rFonts w:hint="default" w:ascii="仿宋" w:hAnsi="仿宋" w:eastAsia="仿宋" w:cs="仿宋"/>
                <w:b/>
                <w:bCs/>
                <w:spacing w:val="14"/>
                <w:kern w:val="2"/>
                <w:sz w:val="23"/>
                <w:szCs w:val="23"/>
                <w:lang w:val="en-US" w:eastAsia="zh-CN" w:bidi="ar-SA"/>
              </w:rPr>
            </w:pPr>
            <w:r>
              <w:rPr>
                <w:rFonts w:hint="eastAsia" w:ascii="仿宋" w:hAnsi="仿宋" w:eastAsia="仿宋" w:cs="仿宋"/>
                <w:b/>
                <w:bCs/>
                <w:spacing w:val="14"/>
                <w:sz w:val="23"/>
                <w:szCs w:val="23"/>
                <w:lang w:val="en-US" w:eastAsia="zh-CN"/>
              </w:rPr>
              <w:t>全面调查、抽样调查</w:t>
            </w:r>
          </w:p>
        </w:tc>
        <w:tc>
          <w:tcPr>
            <w:tcW w:w="1346" w:type="dxa"/>
            <w:vAlign w:val="top"/>
          </w:tcPr>
          <w:p w14:paraId="1978CE49">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1E85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122A164A">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第十七周</w:t>
            </w:r>
          </w:p>
        </w:tc>
        <w:tc>
          <w:tcPr>
            <w:tcW w:w="2072" w:type="dxa"/>
            <w:vAlign w:val="center"/>
          </w:tcPr>
          <w:p w14:paraId="720B1882">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6.9-6.13</w:t>
            </w:r>
          </w:p>
        </w:tc>
        <w:tc>
          <w:tcPr>
            <w:tcW w:w="3964" w:type="dxa"/>
            <w:shd w:val="clear" w:color="auto" w:fill="auto"/>
            <w:vAlign w:val="top"/>
          </w:tcPr>
          <w:p w14:paraId="6242BCE5">
            <w:pPr>
              <w:spacing w:before="234" w:line="265" w:lineRule="auto"/>
              <w:ind w:right="368" w:rightChars="0"/>
              <w:jc w:val="center"/>
              <w:rPr>
                <w:rFonts w:hint="default" w:ascii="仿宋" w:hAnsi="仿宋" w:eastAsia="仿宋" w:cs="仿宋"/>
                <w:b/>
                <w:bCs/>
                <w:spacing w:val="14"/>
                <w:kern w:val="2"/>
                <w:sz w:val="23"/>
                <w:szCs w:val="23"/>
                <w:lang w:val="en-US" w:eastAsia="zh-CN" w:bidi="ar-SA"/>
              </w:rPr>
            </w:pPr>
            <w:r>
              <w:rPr>
                <w:rFonts w:hint="eastAsia" w:ascii="仿宋" w:hAnsi="仿宋" w:eastAsia="仿宋" w:cs="仿宋"/>
                <w:b/>
                <w:bCs/>
                <w:spacing w:val="14"/>
                <w:sz w:val="23"/>
                <w:szCs w:val="23"/>
                <w:lang w:val="en-US" w:eastAsia="zh-CN"/>
              </w:rPr>
              <w:t>用统计图描述数据</w:t>
            </w:r>
          </w:p>
        </w:tc>
        <w:tc>
          <w:tcPr>
            <w:tcW w:w="1346" w:type="dxa"/>
            <w:vAlign w:val="top"/>
          </w:tcPr>
          <w:p w14:paraId="4D86C78D">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bookmarkEnd w:id="0"/>
      <w:tr w14:paraId="12F28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739C5295">
            <w:pPr>
              <w:jc w:val="center"/>
              <w:rPr>
                <w:rFonts w:hint="eastAsia" w:ascii="仿宋" w:hAnsi="仿宋" w:eastAsia="仿宋" w:cstheme="minorBidi"/>
                <w:b/>
                <w:kern w:val="2"/>
                <w:sz w:val="21"/>
                <w:szCs w:val="21"/>
                <w:lang w:val="en-US" w:eastAsia="zh-CN" w:bidi="ar-SA"/>
              </w:rPr>
            </w:pPr>
            <w:r>
              <w:rPr>
                <w:rFonts w:hint="eastAsia" w:ascii="仿宋" w:hAnsi="仿宋" w:eastAsia="仿宋"/>
                <w:color w:val="000000" w:themeColor="text1"/>
                <w:sz w:val="21"/>
                <w:szCs w:val="21"/>
                <w:lang w:val="en-US" w:eastAsia="zh-CN"/>
                <w14:textFill>
                  <w14:solidFill>
                    <w14:schemeClr w14:val="tx1"/>
                  </w14:solidFill>
                </w14:textFill>
              </w:rPr>
              <w:t>第十八周</w:t>
            </w:r>
          </w:p>
        </w:tc>
        <w:tc>
          <w:tcPr>
            <w:tcW w:w="2072" w:type="dxa"/>
            <w:vAlign w:val="center"/>
          </w:tcPr>
          <w:p w14:paraId="6E6807AC">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6.16-6.20</w:t>
            </w:r>
          </w:p>
        </w:tc>
        <w:tc>
          <w:tcPr>
            <w:tcW w:w="3964" w:type="dxa"/>
            <w:shd w:val="clear" w:color="auto" w:fill="auto"/>
            <w:vAlign w:val="top"/>
          </w:tcPr>
          <w:p w14:paraId="4CC044CE">
            <w:pPr>
              <w:spacing w:before="234" w:line="265" w:lineRule="auto"/>
              <w:ind w:right="368" w:rightChars="0"/>
              <w:jc w:val="center"/>
              <w:rPr>
                <w:rFonts w:hint="default" w:ascii="仿宋" w:hAnsi="仿宋" w:eastAsia="仿宋" w:cs="仿宋"/>
                <w:b/>
                <w:bCs/>
                <w:spacing w:val="14"/>
                <w:kern w:val="2"/>
                <w:sz w:val="23"/>
                <w:szCs w:val="23"/>
                <w:lang w:val="en-US" w:eastAsia="zh-CN" w:bidi="ar-SA"/>
              </w:rPr>
            </w:pPr>
            <w:r>
              <w:rPr>
                <w:rFonts w:hint="eastAsia" w:ascii="仿宋" w:hAnsi="仿宋" w:eastAsia="仿宋" w:cs="仿宋"/>
                <w:b/>
                <w:bCs/>
                <w:spacing w:val="14"/>
                <w:sz w:val="23"/>
                <w:szCs w:val="23"/>
                <w:lang w:val="en-US" w:eastAsia="zh-CN"/>
              </w:rPr>
              <w:t>数学活动、整理和复习</w:t>
            </w:r>
          </w:p>
        </w:tc>
        <w:tc>
          <w:tcPr>
            <w:tcW w:w="1346" w:type="dxa"/>
            <w:vAlign w:val="top"/>
          </w:tcPr>
          <w:p w14:paraId="43685018">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5825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47CC29E5">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第十九周</w:t>
            </w:r>
          </w:p>
        </w:tc>
        <w:tc>
          <w:tcPr>
            <w:tcW w:w="2072" w:type="dxa"/>
            <w:shd w:val="clear" w:color="auto" w:fill="auto"/>
            <w:vAlign w:val="center"/>
          </w:tcPr>
          <w:p w14:paraId="682E7B44">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6.23-6.27</w:t>
            </w:r>
          </w:p>
        </w:tc>
        <w:tc>
          <w:tcPr>
            <w:tcW w:w="3964" w:type="dxa"/>
            <w:vAlign w:val="top"/>
          </w:tcPr>
          <w:p w14:paraId="411DB293">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期末复习</w:t>
            </w:r>
          </w:p>
        </w:tc>
        <w:tc>
          <w:tcPr>
            <w:tcW w:w="1346" w:type="dxa"/>
            <w:vAlign w:val="top"/>
          </w:tcPr>
          <w:p w14:paraId="0D919ADF">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r w14:paraId="310C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76" w:type="dxa"/>
            <w:vAlign w:val="center"/>
          </w:tcPr>
          <w:p w14:paraId="50CE1965">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第二十周</w:t>
            </w:r>
          </w:p>
        </w:tc>
        <w:tc>
          <w:tcPr>
            <w:tcW w:w="2072" w:type="dxa"/>
            <w:shd w:val="clear" w:color="auto" w:fill="auto"/>
            <w:vAlign w:val="center"/>
          </w:tcPr>
          <w:p w14:paraId="7385AE40">
            <w:pPr>
              <w:jc w:val="center"/>
              <w:rPr>
                <w:rFonts w:hint="eastAsia" w:ascii="仿宋" w:hAnsi="仿宋" w:eastAsia="仿宋"/>
                <w:color w:val="000000" w:themeColor="text1"/>
                <w:sz w:val="21"/>
                <w:szCs w:val="21"/>
                <w:lang w:val="en-US" w:eastAsia="zh-CN"/>
                <w14:textFill>
                  <w14:solidFill>
                    <w14:schemeClr w14:val="tx1"/>
                  </w14:solidFill>
                </w14:textFill>
              </w:rPr>
            </w:pPr>
            <w:r>
              <w:rPr>
                <w:rFonts w:hint="eastAsia" w:ascii="仿宋" w:hAnsi="仿宋" w:eastAsia="仿宋"/>
                <w:color w:val="000000" w:themeColor="text1"/>
                <w:sz w:val="21"/>
                <w:szCs w:val="21"/>
                <w:lang w:val="en-US" w:eastAsia="zh-CN"/>
                <w14:textFill>
                  <w14:solidFill>
                    <w14:schemeClr w14:val="tx1"/>
                  </w14:solidFill>
                </w14:textFill>
              </w:rPr>
              <w:t>6.30-7.4</w:t>
            </w:r>
          </w:p>
        </w:tc>
        <w:tc>
          <w:tcPr>
            <w:tcW w:w="3964" w:type="dxa"/>
            <w:vAlign w:val="top"/>
          </w:tcPr>
          <w:p w14:paraId="28A53E68">
            <w:pPr>
              <w:spacing w:before="234" w:line="265" w:lineRule="auto"/>
              <w:ind w:right="368" w:rightChars="0"/>
              <w:jc w:val="center"/>
              <w:rPr>
                <w:rFonts w:hint="default"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期末考察</w:t>
            </w:r>
          </w:p>
        </w:tc>
        <w:tc>
          <w:tcPr>
            <w:tcW w:w="1346" w:type="dxa"/>
            <w:vAlign w:val="top"/>
          </w:tcPr>
          <w:p w14:paraId="6C0991FB">
            <w:pPr>
              <w:spacing w:before="234" w:line="265" w:lineRule="auto"/>
              <w:ind w:right="368" w:rightChars="0"/>
              <w:jc w:val="center"/>
              <w:rPr>
                <w:rFonts w:hint="eastAsia" w:ascii="仿宋" w:hAnsi="仿宋" w:eastAsia="仿宋" w:cs="仿宋"/>
                <w:b/>
                <w:bCs/>
                <w:spacing w:val="14"/>
                <w:sz w:val="23"/>
                <w:szCs w:val="23"/>
                <w:lang w:val="en-US" w:eastAsia="zh-CN"/>
              </w:rPr>
            </w:pPr>
            <w:r>
              <w:rPr>
                <w:rFonts w:hint="eastAsia" w:ascii="仿宋" w:hAnsi="仿宋" w:eastAsia="仿宋" w:cs="仿宋"/>
                <w:b/>
                <w:bCs/>
                <w:spacing w:val="14"/>
                <w:sz w:val="23"/>
                <w:szCs w:val="23"/>
                <w:lang w:val="en-US" w:eastAsia="zh-CN"/>
              </w:rPr>
              <w:t>6</w:t>
            </w:r>
          </w:p>
        </w:tc>
      </w:tr>
    </w:tbl>
    <w:p w14:paraId="1709008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86"/>
    <w:family w:val="auto"/>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docPartObj>
        <w:docPartGallery w:val="autotext"/>
      </w:docPartObj>
    </w:sdtPr>
    <w:sdtContent>
      <w:sdt>
        <w:sdtPr>
          <w:id w:val="1728636285"/>
          <w:docPartObj>
            <w:docPartGallery w:val="autotext"/>
          </w:docPartObj>
        </w:sdtPr>
        <w:sdtContent>
          <w:p w14:paraId="4C4B4EE7">
            <w:pPr>
              <w:pStyle w:val="3"/>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2872793A">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5624CD10">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hNjQwODJjMzdkYTZmNzEyMGZkYmI4MjE0M2E3MWEifQ=="/>
    <w:docVar w:name="KSO_WPS_MARK_KEY" w:val="db92c22f-8a78-40fc-92d6-4c03c1cf7a80"/>
  </w:docVars>
  <w:rsids>
    <w:rsidRoot w:val="56B02E39"/>
    <w:rsid w:val="019C3471"/>
    <w:rsid w:val="042551B3"/>
    <w:rsid w:val="07797F74"/>
    <w:rsid w:val="09045F63"/>
    <w:rsid w:val="092475EB"/>
    <w:rsid w:val="0B974E6D"/>
    <w:rsid w:val="0DA56491"/>
    <w:rsid w:val="0F2C2E68"/>
    <w:rsid w:val="11B212BD"/>
    <w:rsid w:val="153100E0"/>
    <w:rsid w:val="19CC6629"/>
    <w:rsid w:val="1ABA46D4"/>
    <w:rsid w:val="1B2134D9"/>
    <w:rsid w:val="1EE461C3"/>
    <w:rsid w:val="1FEB3581"/>
    <w:rsid w:val="22C839D0"/>
    <w:rsid w:val="23885944"/>
    <w:rsid w:val="240A214E"/>
    <w:rsid w:val="27620F3F"/>
    <w:rsid w:val="34C17ADB"/>
    <w:rsid w:val="35C63EA5"/>
    <w:rsid w:val="37752F10"/>
    <w:rsid w:val="39FB44EB"/>
    <w:rsid w:val="3B254A69"/>
    <w:rsid w:val="3C3E4D0D"/>
    <w:rsid w:val="4D9817BC"/>
    <w:rsid w:val="516E1798"/>
    <w:rsid w:val="547215A0"/>
    <w:rsid w:val="56A1431C"/>
    <w:rsid w:val="56B02E39"/>
    <w:rsid w:val="56DA167E"/>
    <w:rsid w:val="572745FE"/>
    <w:rsid w:val="587F311C"/>
    <w:rsid w:val="58FE3FE4"/>
    <w:rsid w:val="5CA776B1"/>
    <w:rsid w:val="607D3E24"/>
    <w:rsid w:val="627B3D15"/>
    <w:rsid w:val="6D535020"/>
    <w:rsid w:val="6F47455C"/>
    <w:rsid w:val="717918DF"/>
    <w:rsid w:val="71E073E1"/>
    <w:rsid w:val="739C1D3D"/>
    <w:rsid w:val="7463285B"/>
    <w:rsid w:val="75F347C8"/>
    <w:rsid w:val="7A9044A9"/>
    <w:rsid w:val="7AA33AE4"/>
    <w:rsid w:val="7E18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styleId="9">
    <w:name w:val="List Paragraph"/>
    <w:basedOn w:val="1"/>
    <w:autoRedefine/>
    <w:qFormat/>
    <w:uiPriority w:val="34"/>
    <w:pPr>
      <w:ind w:firstLine="420" w:firstLineChars="200"/>
    </w:pPr>
  </w:style>
  <w:style w:type="table" w:customStyle="1" w:styleId="1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402DHI\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5</Pages>
  <Words>1359</Words>
  <Characters>1524</Characters>
  <Lines>0</Lines>
  <Paragraphs>0</Paragraphs>
  <TotalTime>0</TotalTime>
  <ScaleCrop>false</ScaleCrop>
  <LinksUpToDate>false</LinksUpToDate>
  <CharactersWithSpaces>1546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2019-02-22T09:20:00Z</dcterms:created>
  <dc:creator>1405310111</dc:creator>
  <cp:lastModifiedBy>往后余生</cp:lastModifiedBy>
  <dcterms:modified xsi:type="dcterms:W3CDTF">2025-02-17T04:13:17Z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E0C7D715A2F94C468BDA5DB419423962_13</vt:lpwstr>
  </property>
  <property fmtid="{D5CDD505-2E9C-101B-9397-08002B2CF9AE}" pid="4" name="KSOTemplateDocerSaveRecord">
    <vt:lpwstr>eyJoZGlkIjoiMjFhNjQwODJjMzdkYTZmNzEyMGZkYmI4MjE0M2E3MWEiLCJ1c2VySWQiOiI0MjI2MzUxOTAifQ==</vt:lpwstr>
  </property>
</Properties>
</file>