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DF10D">
      <w:pPr>
        <w:jc w:val="center"/>
        <w:rPr>
          <w:rFonts w:ascii="黑体" w:hAnsi="黑体" w:eastAsia="黑体"/>
          <w:sz w:val="44"/>
          <w:szCs w:val="44"/>
        </w:rPr>
      </w:pPr>
      <w:r>
        <w:rPr>
          <w:rFonts w:hint="eastAsia" w:ascii="黑体" w:hAnsi="黑体" w:eastAsia="黑体"/>
          <w:sz w:val="44"/>
          <w:szCs w:val="44"/>
        </w:rPr>
        <w:t>聊城市特殊教育学校</w:t>
      </w:r>
    </w:p>
    <w:p w14:paraId="3C89EDFB">
      <w:pPr>
        <w:jc w:val="center"/>
        <w:rPr>
          <w:rFonts w:ascii="仿宋" w:hAnsi="仿宋" w:eastAsia="仿宋"/>
          <w:b/>
          <w:sz w:val="32"/>
          <w:szCs w:val="32"/>
        </w:rPr>
      </w:pPr>
      <w:r>
        <w:rPr>
          <w:rFonts w:hint="eastAsia" w:ascii="仿宋" w:hAnsi="仿宋" w:eastAsia="仿宋"/>
          <w:b/>
          <w:sz w:val="32"/>
          <w:szCs w:val="32"/>
          <w:lang w:val="en-US" w:eastAsia="zh-CN"/>
        </w:rPr>
        <w:t>2024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w:t>
      </w:r>
      <w:r>
        <w:rPr>
          <w:rFonts w:hint="eastAsia" w:ascii="仿宋" w:hAnsi="仿宋" w:eastAsia="仿宋"/>
          <w:b/>
          <w:sz w:val="32"/>
          <w:szCs w:val="32"/>
          <w:lang w:val="en-US" w:eastAsia="zh-CN"/>
        </w:rPr>
        <w:t>25</w:t>
      </w:r>
      <w:r>
        <w:rPr>
          <w:rFonts w:ascii="仿宋" w:hAnsi="仿宋" w:eastAsia="仿宋"/>
          <w:b/>
          <w:sz w:val="32"/>
          <w:szCs w:val="32"/>
        </w:rPr>
        <w:t xml:space="preserve"> </w:t>
      </w:r>
      <w:r>
        <w:rPr>
          <w:rFonts w:hint="eastAsia" w:ascii="仿宋" w:hAnsi="仿宋" w:eastAsia="仿宋"/>
          <w:b/>
          <w:sz w:val="32"/>
          <w:szCs w:val="32"/>
        </w:rPr>
        <w:t>年度第</w:t>
      </w:r>
      <w:r>
        <w:rPr>
          <w:rFonts w:hint="eastAsia" w:ascii="仿宋" w:hAnsi="仿宋" w:eastAsia="仿宋"/>
          <w:b/>
          <w:sz w:val="32"/>
          <w:szCs w:val="32"/>
          <w:lang w:eastAsia="zh-CN"/>
        </w:rPr>
        <w:t>二</w:t>
      </w:r>
      <w:r>
        <w:rPr>
          <w:rFonts w:hint="eastAsia" w:ascii="仿宋" w:hAnsi="仿宋" w:eastAsia="仿宋"/>
          <w:b/>
          <w:sz w:val="32"/>
          <w:szCs w:val="32"/>
        </w:rPr>
        <w:t>学期教学计划</w:t>
      </w:r>
    </w:p>
    <w:p w14:paraId="69C0D17F">
      <w:pPr>
        <w:jc w:val="center"/>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dUGrvTAAAABgEAAA8A&#10;AAAAAAAAAQAgAAAAIgAAAGRycy9kb3ducmV2LnhtbFBLAQIUABQAAAAIAIdO4kDMsuMs4wEAALED&#10;AAAOAAAAAAAAAAEAIAAAACIBAABkcnMvZTJvRG9jLnhtbFBLBQYAAAAABgAGAFkBAAB3BQ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 xml:space="preserve">班级： </w:t>
      </w:r>
      <w:r>
        <w:rPr>
          <w:rFonts w:ascii="仿宋" w:hAnsi="仿宋" w:eastAsia="仿宋"/>
          <w:sz w:val="32"/>
          <w:szCs w:val="32"/>
        </w:rPr>
        <w:t xml:space="preserve"> </w:t>
      </w:r>
      <w:r>
        <w:rPr>
          <w:rFonts w:hint="eastAsia" w:ascii="仿宋" w:hAnsi="仿宋" w:eastAsia="仿宋"/>
          <w:sz w:val="32"/>
          <w:szCs w:val="32"/>
          <w:lang w:eastAsia="zh-CN"/>
        </w:rPr>
        <w:t>听障</w:t>
      </w:r>
      <w:r>
        <w:rPr>
          <w:rFonts w:hint="eastAsia" w:ascii="仿宋" w:hAnsi="仿宋" w:eastAsia="仿宋"/>
          <w:sz w:val="32"/>
          <w:szCs w:val="32"/>
          <w:lang w:val="en-US" w:eastAsia="zh-CN"/>
        </w:rPr>
        <w:t>5.1</w:t>
      </w:r>
      <w:r>
        <w:rPr>
          <w:rFonts w:ascii="仿宋" w:hAnsi="仿宋" w:eastAsia="仿宋"/>
          <w:sz w:val="32"/>
          <w:szCs w:val="32"/>
        </w:rPr>
        <w:t xml:space="preserve">   </w:t>
      </w:r>
      <w:r>
        <w:rPr>
          <w:rFonts w:hint="eastAsia" w:ascii="仿宋" w:hAnsi="仿宋" w:eastAsia="仿宋"/>
          <w:sz w:val="32"/>
          <w:szCs w:val="32"/>
        </w:rPr>
        <w:t xml:space="preserve"> 科目：  </w:t>
      </w:r>
      <w:r>
        <w:rPr>
          <w:rFonts w:hint="eastAsia" w:ascii="仿宋" w:hAnsi="仿宋" w:eastAsia="仿宋"/>
          <w:sz w:val="32"/>
          <w:szCs w:val="32"/>
          <w:lang w:eastAsia="zh-CN"/>
        </w:rPr>
        <w:t>数学</w:t>
      </w:r>
      <w:r>
        <w:rPr>
          <w:rFonts w:ascii="仿宋" w:hAnsi="仿宋" w:eastAsia="仿宋"/>
          <w:sz w:val="32"/>
          <w:szCs w:val="32"/>
        </w:rPr>
        <w:t xml:space="preserve">   </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rPr>
        <w:t>教师：</w:t>
      </w:r>
      <w:r>
        <w:rPr>
          <w:rFonts w:hint="eastAsia" w:ascii="仿宋" w:hAnsi="仿宋" w:eastAsia="仿宋"/>
          <w:sz w:val="32"/>
          <w:szCs w:val="32"/>
          <w:lang w:val="en-US" w:eastAsia="zh-CN"/>
        </w:rPr>
        <w:t>李金鑫</w:t>
      </w:r>
      <w:r>
        <w:rPr>
          <w:rFonts w:hint="eastAsia" w:ascii="仿宋" w:hAnsi="仿宋" w:eastAsia="仿宋"/>
          <w:sz w:val="32"/>
          <w:szCs w:val="32"/>
        </w:rPr>
        <w:t xml:space="preserve">      </w:t>
      </w:r>
    </w:p>
    <w:p w14:paraId="6CAB3214">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黑体" w:hAnsi="黑体" w:eastAsia="黑体" w:cstheme="minorBidi"/>
          <w:kern w:val="2"/>
          <w:sz w:val="32"/>
          <w:szCs w:val="32"/>
          <w:lang w:val="en-US" w:eastAsia="zh-CN" w:bidi="ar-SA"/>
        </w:rPr>
        <w:t>一、学情分析</w:t>
      </w:r>
    </w:p>
    <w:p w14:paraId="6F840D0A">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本班共有听障学生 16 名，其中男生 5 名，女生 11名。经过前期的学习，大部分学生已经掌握了基本的数学知识和技能，具备了一定的数学思维能力。但由于听力障碍，部分学生在理解抽象概念、进行逻辑推理等方面仍存在一定困难。因此，在教学过程中需要更加注重直观演示、动手操作和语言表达，帮助学生更好地理解和掌握数学知识。</w:t>
      </w:r>
    </w:p>
    <w:p w14:paraId="31173199">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黑体" w:hAnsi="黑体" w:eastAsia="黑体" w:cstheme="minorBidi"/>
          <w:kern w:val="2"/>
          <w:sz w:val="32"/>
          <w:szCs w:val="32"/>
          <w:lang w:val="en-US" w:eastAsia="zh-CN" w:bidi="ar-SA"/>
        </w:rPr>
      </w:pPr>
      <w:r>
        <w:rPr>
          <w:rFonts w:hint="eastAsia" w:ascii="黑体" w:hAnsi="黑体" w:eastAsia="黑体" w:cstheme="minorBidi"/>
          <w:kern w:val="2"/>
          <w:sz w:val="32"/>
          <w:szCs w:val="32"/>
          <w:lang w:val="en-US" w:eastAsia="zh-CN" w:bidi="ar-SA"/>
        </w:rPr>
        <w:t>二、教材分析</w:t>
      </w:r>
    </w:p>
    <w:p w14:paraId="588BDD02">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黑体" w:hAnsi="黑体" w:eastAsia="黑体" w:cstheme="minorBidi"/>
          <w:kern w:val="2"/>
          <w:sz w:val="32"/>
          <w:szCs w:val="32"/>
          <w:lang w:val="en-US" w:eastAsia="zh-CN" w:bidi="ar-SA"/>
        </w:rPr>
      </w:pPr>
      <w:r>
        <w:rPr>
          <w:rFonts w:hint="eastAsia" w:ascii="仿宋" w:hAnsi="仿宋" w:eastAsia="仿宋" w:cs="仿宋"/>
          <w:sz w:val="32"/>
          <w:szCs w:val="32"/>
          <w:lang w:val="en-US" w:eastAsia="zh-CN"/>
        </w:rPr>
        <w:t>本学期继续使用人教版聋校新版的数学教材，新教材的编写，注意吸收原聋校数学教材的编写经验，根据聋生心理与思维发展特点，教材知识结构的设计遵循小步子、多循环的原则。</w:t>
      </w:r>
    </w:p>
    <w:p w14:paraId="65444733">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eastAsia="zh-CN"/>
        </w:rPr>
      </w:pPr>
      <w:r>
        <w:rPr>
          <w:rFonts w:hint="eastAsia" w:ascii="楷体" w:hAnsi="楷体" w:eastAsia="楷体" w:cs="楷体"/>
          <w:sz w:val="32"/>
          <w:szCs w:val="32"/>
          <w:lang w:eastAsia="zh-CN"/>
        </w:rPr>
        <w:t>（一）教学内容</w:t>
      </w:r>
      <w:r>
        <w:rPr>
          <w:rFonts w:hint="eastAsia" w:ascii="楷体" w:hAnsi="楷体" w:eastAsia="楷体" w:cs="楷体"/>
          <w:sz w:val="32"/>
          <w:szCs w:val="32"/>
          <w:lang w:val="en-US" w:eastAsia="zh-CN"/>
        </w:rPr>
        <w:t>：</w:t>
      </w:r>
    </w:p>
    <w:p w14:paraId="0124985C">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这册教材材包括下面一些内容：</w:t>
      </w:r>
      <w:r>
        <w:rPr>
          <w:rFonts w:hint="eastAsia" w:ascii="仿宋" w:hAnsi="仿宋" w:eastAsia="仿宋" w:cs="仿宋"/>
          <w:sz w:val="32"/>
          <w:szCs w:val="32"/>
          <w:lang w:val="en-US" w:eastAsia="zh-CN"/>
        </w:rPr>
        <w:t>小数的意义和性质，小数的加法和减法，运算定律</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三角形，图形的运动（二），平均数与条形统计图，用数学解决问题，综合与实践主题活动等</w:t>
      </w:r>
      <w:r>
        <w:rPr>
          <w:rFonts w:hint="eastAsia" w:ascii="仿宋" w:hAnsi="仿宋" w:eastAsia="仿宋" w:cs="仿宋"/>
          <w:sz w:val="32"/>
          <w:szCs w:val="32"/>
          <w:lang w:eastAsia="zh-CN"/>
        </w:rPr>
        <w:t>。</w:t>
      </w:r>
    </w:p>
    <w:p w14:paraId="4673C6B6">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这册教材的重点</w:t>
      </w:r>
      <w:r>
        <w:rPr>
          <w:rFonts w:hint="eastAsia" w:ascii="仿宋" w:hAnsi="仿宋" w:eastAsia="仿宋" w:cs="仿宋"/>
          <w:sz w:val="32"/>
          <w:szCs w:val="32"/>
          <w:lang w:val="en-US" w:eastAsia="zh-CN"/>
        </w:rPr>
        <w:t>教</w:t>
      </w:r>
      <w:r>
        <w:rPr>
          <w:rFonts w:hint="eastAsia" w:ascii="仿宋" w:hAnsi="仿宋" w:eastAsia="仿宋" w:cs="仿宋"/>
          <w:sz w:val="32"/>
          <w:szCs w:val="32"/>
          <w:lang w:eastAsia="zh-CN"/>
        </w:rPr>
        <w:t>学内容主要是</w:t>
      </w:r>
      <w:r>
        <w:rPr>
          <w:rFonts w:hint="eastAsia" w:ascii="仿宋" w:hAnsi="仿宋" w:eastAsia="仿宋" w:cs="仿宋"/>
          <w:sz w:val="32"/>
          <w:szCs w:val="32"/>
          <w:lang w:val="en-US" w:eastAsia="zh-CN"/>
        </w:rPr>
        <w:t>小数的意义和性质、小数的加法和减法、运算定律以及三角形等。</w:t>
      </w:r>
    </w:p>
    <w:p w14:paraId="70E85AE6">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在数与计算方面，本册教材安排了小数的意义和性质、小数的加法和减法及运算定律。小数在日常生活中有着广泛的应用，有关小数概念的知识和小数四则运算能力是小学生应该掌握和形成的基础知识和基本能力。学生在四年级已经认识了简单的小数，会计算一位小数的加减法，在本学期里学生将系统地学习小数的意义和性质、小数大小的比较、小数点位置移动引起小数大小的变化等，并在此基础上学习比较复杂的小数的加法和减法，使学生很好地理解小数的意义，能用小数来表达和交流信息，初步学习用小数知识解决问题。运算定律的知识也是小学生应当掌握的关于计算的基础知识，主要是在学生已有的直观认识的基础上对有关加法和乘法的运算定律加以概括和总结，并学习运用运算定律进行一些简便运算。</w:t>
      </w:r>
    </w:p>
    <w:p w14:paraId="5F10D295">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在图形与几何方面，本册教材安排了三角形、图形的运动(二)两个单元，这些都是本册教材的重点或难点教学内容，并为发展学生的空间观念提供了丰富的素材。教材在已有知识和经验的基础上，通过丰富的数学活动，引导学生进一步认识三角形的特性，进一步探索平面图形运动的特性和方法。使学生在探索图形的特征、图形的运动的活动中进一步发展空间观念，提高观察能力和动手操作能力，同时获得空间与几何学习的实践经验和思维经验。</w:t>
      </w:r>
    </w:p>
    <w:p w14:paraId="6C99ABBD">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lang w:eastAsia="zh-CN"/>
        </w:rPr>
        <w:t>在统计知识方面，本册教材安排了平均数与复式条形统计图。通过学习平均数的含义和简单的求平均数的方法，初步理解平均数的意义和实际应用。关于复式条形统计图，教材介绍了纵向和横向两种不同的形式，让学生学习制作简单的复式条形统计图，学会看懂这两种统计图并进行简单的数据分析，进一步体会统计在现实生活中的作用，逐步形成数据分析观念。</w:t>
      </w:r>
    </w:p>
    <w:p w14:paraId="5035C18C">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本册教材根据学生所学习的数学知识和生活经验，安排了一个综合应用数学的主题实践活动--“营养午餐”。让学生通过有现实背景的探究活动，小组合作、讨论交流，运用所学知识解决问题。体验数学探索的乐趣和数学的实际应用，感受用数学的愉悦，培养学生的应用</w:t>
      </w:r>
      <w:r>
        <w:rPr>
          <w:rFonts w:hint="eastAsia" w:ascii="仿宋" w:hAnsi="仿宋" w:eastAsia="仿宋" w:cs="仿宋"/>
          <w:sz w:val="32"/>
          <w:szCs w:val="32"/>
          <w:lang w:val="en-US" w:eastAsia="zh-CN"/>
        </w:rPr>
        <w:t>知</w:t>
      </w:r>
      <w:r>
        <w:rPr>
          <w:rFonts w:hint="eastAsia" w:ascii="仿宋" w:hAnsi="仿宋" w:eastAsia="仿宋" w:cs="仿宋"/>
          <w:sz w:val="32"/>
          <w:szCs w:val="32"/>
          <w:lang w:eastAsia="zh-CN"/>
        </w:rPr>
        <w:t>识和解决问题能力。</w:t>
      </w:r>
    </w:p>
    <w:p w14:paraId="78F44F87">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（二）教学目标：</w:t>
      </w:r>
    </w:p>
    <w:p w14:paraId="59C0E9D0">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（一）知识与技能</w:t>
      </w:r>
    </w:p>
    <w:p w14:paraId="61DCC946">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认识图形的平移、旋转和轴对称，能在方格纸上画出简单图形平移、旋转后的图形，以及轴对称图形的对称轴。</w:t>
      </w:r>
    </w:p>
    <w:p w14:paraId="16545239">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理解并掌握加法交换律、结合律，乘法交换律、结合律和分配律，能运用运算律进行简便计算。</w:t>
      </w:r>
    </w:p>
    <w:p w14:paraId="7AA2C4F5">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理解小数的意义和性质，掌握小数的读写方法，会比较小数的大小，并能进行小数的改写和求近似数。</w:t>
      </w:r>
    </w:p>
    <w:p w14:paraId="1C932493">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 认识三角形，掌握三角形的特征和分类，理解三角形的内角和是180度，并能运用三角形的知识解决简单的实际问题。</w:t>
      </w:r>
    </w:p>
    <w:p w14:paraId="2445A254">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 掌握小数加减法的计算方法，并能正确地进行计算。</w:t>
      </w:r>
    </w:p>
    <w:p w14:paraId="2BE7F1D5">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 理解平均数的意义，掌握求平均数的方法，并能根据统计图进行简单的数据分析。</w:t>
      </w:r>
    </w:p>
    <w:p w14:paraId="3B106467">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（二）过程与方法</w:t>
      </w:r>
    </w:p>
    <w:p w14:paraId="755E7DD3">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通过观察、操作、实验等活动，经历知识的形成过程，发展空间观念和推理能力。</w:t>
      </w:r>
    </w:p>
    <w:p w14:paraId="461B32B4">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通过合作交流、自主探究等方式，体验解决问题策略的多样性，发展创新意识和实践能力。</w:t>
      </w:r>
    </w:p>
    <w:p w14:paraId="6FBE6747">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运用数学语言进行表达和交流，发展数学思维能力。</w:t>
      </w:r>
    </w:p>
    <w:p w14:paraId="6BC88103">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（三）情感态度与价值观</w:t>
      </w:r>
    </w:p>
    <w:p w14:paraId="7AB1E72A">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体验数学与生活的密切联系，感受数学的价值，增强学习数学的兴趣。</w:t>
      </w:r>
    </w:p>
    <w:p w14:paraId="2519C631">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养成认真观察、独立思考、合作交流的良好学习习惯。</w:t>
      </w:r>
    </w:p>
    <w:p w14:paraId="6C04A347">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克服学习中的困难，增强学好数学的信心。</w:t>
      </w:r>
    </w:p>
    <w:p w14:paraId="6B26453A">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（四）教学重点</w:t>
      </w:r>
    </w:p>
    <w:p w14:paraId="2AD7AF92">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图形的平移、旋转和轴对称。</w:t>
      </w:r>
    </w:p>
    <w:p w14:paraId="284DFB6A">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运算律的理解和应用。</w:t>
      </w:r>
    </w:p>
    <w:p w14:paraId="6DAF9C56">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小数的意义和性质。</w:t>
      </w:r>
    </w:p>
    <w:p w14:paraId="4FC2ED65">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 三角形的特征和分类。</w:t>
      </w:r>
    </w:p>
    <w:p w14:paraId="13F87584">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 小数加减法的计算方法。</w:t>
      </w:r>
    </w:p>
    <w:p w14:paraId="61412A99">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6. 平均数的意义和求法。</w:t>
      </w:r>
    </w:p>
    <w:p w14:paraId="5AC011CF">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（五）教学难点</w:t>
      </w:r>
    </w:p>
    <w:p w14:paraId="1C20EB12">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在方格纸上画出简单图形平移、旋转后的图形。</w:t>
      </w:r>
    </w:p>
    <w:p w14:paraId="25C7E54A">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运用运算律进行简便计算。</w:t>
      </w:r>
    </w:p>
    <w:p w14:paraId="092C8928">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 小数的改写和求近似数。</w:t>
      </w:r>
    </w:p>
    <w:p w14:paraId="4F529BAA">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 运用三角形的知识解决简单的实际问题。</w:t>
      </w:r>
    </w:p>
    <w:p w14:paraId="4B78372A">
      <w:pP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 根据统计图进行简单的数据分析。</w:t>
      </w:r>
    </w:p>
    <w:p w14:paraId="0AC26790">
      <w:pPr>
        <w:pStyle w:val="7"/>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left"/>
        <w:textAlignment w:val="auto"/>
        <w:outlineLvl w:val="9"/>
        <w:rPr>
          <w:rFonts w:hint="eastAsia" w:ascii="黑体" w:hAnsi="黑体" w:eastAsia="黑体" w:cstheme="minorBidi"/>
          <w:kern w:val="2"/>
          <w:sz w:val="32"/>
          <w:szCs w:val="32"/>
          <w:lang w:val="en-US" w:eastAsia="zh-CN" w:bidi="ar-SA"/>
        </w:rPr>
      </w:pPr>
      <w:r>
        <w:rPr>
          <w:rFonts w:hint="eastAsia" w:ascii="黑体" w:hAnsi="黑体" w:eastAsia="黑体" w:cstheme="minorBidi"/>
          <w:kern w:val="2"/>
          <w:sz w:val="32"/>
          <w:szCs w:val="32"/>
          <w:lang w:val="en-US" w:eastAsia="zh-CN" w:bidi="ar-SA"/>
        </w:rPr>
        <w:t>三、教学措施</w:t>
      </w:r>
    </w:p>
    <w:p w14:paraId="0FB9F14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 注重直观演示，帮助学生理解抽象概念。利用实物、模型、图片、动画等直观教具，将抽象的数学概念形象化、具体化，帮助学生更好地理解和掌握。</w:t>
      </w:r>
    </w:p>
    <w:p w14:paraId="01C3BA4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 加强动手操作，引导学生主动探究。设计丰富的操作活动，让学生通过摆一摆、画一画、剪一剪、拼一拼等方式，亲身经历知识的形成过程，加深对知识的理解。</w:t>
      </w:r>
    </w:p>
    <w:p w14:paraId="4D3B0C54">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3.重视语言表达，发展学生数学思维能力。鼓励学生用数学语言表达自己的想法和思考过程，引导学生进行有条理、有逻辑的思考，发展数学思维能力。</w:t>
      </w:r>
    </w:p>
    <w:p w14:paraId="5C94855B">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4.关注个体差异，实施分层教学。根据学生的个体差异，设计不同层次的教学目标和练习，让每个学生都能在原有基础上得到发展。</w:t>
      </w:r>
    </w:p>
    <w:p w14:paraId="3CA1FD3E">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5. 加强家校联系，形成教育合力。与家长保持密切联系，及时沟通学生的学习情况，共同帮助学生克服学习困难，取得进步。</w:t>
      </w:r>
    </w:p>
    <w:p w14:paraId="6881DB3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2"/>
          <w:sz w:val="32"/>
          <w:szCs w:val="32"/>
          <w:lang w:val="en-US" w:eastAsia="zh-CN" w:bidi="ar-SA"/>
        </w:rPr>
      </w:pPr>
    </w:p>
    <w:p w14:paraId="346F008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kern w:val="2"/>
          <w:sz w:val="32"/>
          <w:szCs w:val="32"/>
          <w:lang w:val="en-US" w:eastAsia="zh-CN" w:bidi="ar-SA"/>
        </w:rPr>
      </w:pPr>
    </w:p>
    <w:p w14:paraId="4E43584C">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kern w:val="2"/>
          <w:sz w:val="32"/>
          <w:szCs w:val="32"/>
          <w:lang w:val="en-US" w:eastAsia="zh-CN" w:bidi="ar-SA"/>
        </w:rPr>
      </w:pPr>
    </w:p>
    <w:p w14:paraId="7CD41DA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kern w:val="2"/>
          <w:sz w:val="32"/>
          <w:szCs w:val="32"/>
          <w:lang w:val="en-US" w:eastAsia="zh-CN" w:bidi="ar-SA"/>
        </w:rPr>
      </w:pPr>
    </w:p>
    <w:p w14:paraId="2A2BAD3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kern w:val="2"/>
          <w:sz w:val="32"/>
          <w:szCs w:val="32"/>
          <w:lang w:val="en-US" w:eastAsia="zh-CN" w:bidi="ar-SA"/>
        </w:rPr>
      </w:pPr>
    </w:p>
    <w:p w14:paraId="20B165FB">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kern w:val="2"/>
          <w:sz w:val="32"/>
          <w:szCs w:val="32"/>
          <w:lang w:val="en-US" w:eastAsia="zh-CN" w:bidi="ar-SA"/>
        </w:rPr>
      </w:pPr>
    </w:p>
    <w:p w14:paraId="74A73D44">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kern w:val="2"/>
          <w:sz w:val="32"/>
          <w:szCs w:val="32"/>
          <w:lang w:val="en-US" w:eastAsia="zh-CN" w:bidi="ar-SA"/>
        </w:rPr>
      </w:pPr>
    </w:p>
    <w:p w14:paraId="53F85E41">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kern w:val="2"/>
          <w:sz w:val="32"/>
          <w:szCs w:val="32"/>
          <w:lang w:val="en-US" w:eastAsia="zh-CN" w:bidi="ar-SA"/>
        </w:rPr>
      </w:pPr>
    </w:p>
    <w:p w14:paraId="3F7DAC1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kern w:val="2"/>
          <w:sz w:val="32"/>
          <w:szCs w:val="32"/>
          <w:lang w:val="en-US" w:eastAsia="zh-CN" w:bidi="ar-SA"/>
        </w:rPr>
      </w:pPr>
    </w:p>
    <w:p w14:paraId="0AB34602">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kern w:val="2"/>
          <w:sz w:val="32"/>
          <w:szCs w:val="32"/>
          <w:lang w:val="en-US" w:eastAsia="zh-CN" w:bidi="ar-SA"/>
        </w:rPr>
      </w:pPr>
    </w:p>
    <w:p w14:paraId="76D9113A">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kern w:val="2"/>
          <w:sz w:val="32"/>
          <w:szCs w:val="32"/>
          <w:lang w:val="en-US" w:eastAsia="zh-CN" w:bidi="ar-SA"/>
        </w:rPr>
      </w:pPr>
    </w:p>
    <w:p w14:paraId="6E59DD77">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 w:hAnsi="仿宋" w:eastAsia="仿宋" w:cs="仿宋"/>
          <w:b/>
          <w:bCs/>
          <w:kern w:val="2"/>
          <w:sz w:val="32"/>
          <w:szCs w:val="32"/>
          <w:lang w:val="en-US" w:eastAsia="zh-CN" w:bidi="ar-SA"/>
        </w:rPr>
      </w:pPr>
    </w:p>
    <w:p w14:paraId="57125199">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default" w:ascii="仿宋" w:hAnsi="仿宋" w:eastAsia="仿宋" w:cs="仿宋"/>
          <w:b/>
          <w:bCs/>
          <w:kern w:val="2"/>
          <w:sz w:val="32"/>
          <w:szCs w:val="32"/>
          <w:lang w:val="en-US" w:eastAsia="zh-CN" w:bidi="ar-SA"/>
        </w:rPr>
      </w:pPr>
      <w:bookmarkStart w:id="1" w:name="_GoBack"/>
      <w:bookmarkEnd w:id="1"/>
      <w:r>
        <w:rPr>
          <w:rFonts w:hint="eastAsia" w:ascii="仿宋" w:hAnsi="仿宋" w:eastAsia="仿宋" w:cs="仿宋"/>
          <w:b/>
          <w:bCs/>
          <w:kern w:val="2"/>
          <w:sz w:val="32"/>
          <w:szCs w:val="32"/>
          <w:lang w:val="en-US" w:eastAsia="zh-CN" w:bidi="ar-SA"/>
        </w:rPr>
        <w:t>教学进度表</w:t>
      </w:r>
    </w:p>
    <w:tbl>
      <w:tblPr>
        <w:tblStyle w:val="5"/>
        <w:tblpPr w:leftFromText="180" w:rightFromText="180" w:vertAnchor="text" w:horzAnchor="page" w:tblpX="1683" w:tblpY="733"/>
        <w:tblOverlap w:val="never"/>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1695"/>
        <w:gridCol w:w="4646"/>
        <w:gridCol w:w="1439"/>
      </w:tblGrid>
      <w:tr w14:paraId="68AC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198" w:type="dxa"/>
          </w:tcPr>
          <w:p w14:paraId="52971E26">
            <w:pPr>
              <w:widowControl/>
              <w:jc w:val="center"/>
              <w:rPr>
                <w:rFonts w:hint="eastAsia" w:ascii="仿宋" w:hAnsi="仿宋" w:eastAsia="仿宋" w:cstheme="minorBidi"/>
                <w:kern w:val="2"/>
                <w:sz w:val="24"/>
                <w:szCs w:val="24"/>
                <w:lang w:val="en-US" w:eastAsia="zh-CN" w:bidi="ar-SA"/>
              </w:rPr>
            </w:pPr>
            <w:bookmarkStart w:id="0" w:name="_Hlk508185129"/>
            <w:r>
              <w:rPr>
                <w:rFonts w:hint="eastAsia" w:ascii="仿宋" w:hAnsi="仿宋" w:eastAsia="仿宋" w:cstheme="minorBidi"/>
                <w:kern w:val="2"/>
                <w:sz w:val="24"/>
                <w:szCs w:val="24"/>
                <w:lang w:val="en-US" w:eastAsia="zh-CN" w:bidi="ar-SA"/>
              </w:rPr>
              <w:t>周次</w:t>
            </w:r>
          </w:p>
        </w:tc>
        <w:tc>
          <w:tcPr>
            <w:tcW w:w="1695" w:type="dxa"/>
          </w:tcPr>
          <w:p w14:paraId="6A1C4057">
            <w:pPr>
              <w:widowControl/>
              <w:ind w:firstLine="240" w:firstLineChars="100"/>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日期</w:t>
            </w:r>
          </w:p>
        </w:tc>
        <w:tc>
          <w:tcPr>
            <w:tcW w:w="4646" w:type="dxa"/>
          </w:tcPr>
          <w:p w14:paraId="0DDB9F4C">
            <w:pPr>
              <w:ind w:firstLine="1124" w:firstLineChars="400"/>
              <w:rPr>
                <w:rFonts w:ascii="仿宋" w:hAnsi="仿宋" w:eastAsia="仿宋"/>
                <w:b/>
                <w:sz w:val="28"/>
                <w:szCs w:val="28"/>
              </w:rPr>
            </w:pPr>
            <w:r>
              <w:rPr>
                <w:rFonts w:hint="eastAsia" w:ascii="仿宋" w:hAnsi="仿宋" w:eastAsia="仿宋"/>
                <w:b/>
                <w:sz w:val="28"/>
                <w:szCs w:val="28"/>
              </w:rPr>
              <w:t>教材章节内容</w:t>
            </w:r>
          </w:p>
        </w:tc>
        <w:tc>
          <w:tcPr>
            <w:tcW w:w="1439" w:type="dxa"/>
          </w:tcPr>
          <w:p w14:paraId="708C44DB">
            <w:pPr>
              <w:jc w:val="center"/>
              <w:rPr>
                <w:rFonts w:ascii="仿宋" w:hAnsi="仿宋" w:eastAsia="仿宋"/>
                <w:b/>
                <w:sz w:val="28"/>
                <w:szCs w:val="28"/>
              </w:rPr>
            </w:pPr>
            <w:r>
              <w:rPr>
                <w:rFonts w:hint="eastAsia" w:ascii="仿宋" w:hAnsi="仿宋" w:eastAsia="仿宋"/>
                <w:b/>
                <w:sz w:val="28"/>
                <w:szCs w:val="28"/>
              </w:rPr>
              <w:t>课时</w:t>
            </w:r>
          </w:p>
        </w:tc>
      </w:tr>
      <w:tr w14:paraId="2CEB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198" w:type="dxa"/>
            <w:vAlign w:val="center"/>
          </w:tcPr>
          <w:p w14:paraId="25B4468A">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1</w:t>
            </w:r>
          </w:p>
        </w:tc>
        <w:tc>
          <w:tcPr>
            <w:tcW w:w="1695" w:type="dxa"/>
            <w:vAlign w:val="center"/>
          </w:tcPr>
          <w:p w14:paraId="3EEE8B9E">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第1周</w:t>
            </w:r>
          </w:p>
        </w:tc>
        <w:tc>
          <w:tcPr>
            <w:tcW w:w="4646" w:type="dxa"/>
          </w:tcPr>
          <w:p w14:paraId="6AEA8AA9">
            <w:pPr>
              <w:jc w:val="center"/>
              <w:rPr>
                <w:rFonts w:hint="default" w:ascii="仿宋" w:hAnsi="仿宋" w:eastAsia="仿宋"/>
                <w:b/>
                <w:sz w:val="28"/>
                <w:szCs w:val="28"/>
                <w:lang w:val="en-US" w:eastAsia="zh-CN"/>
              </w:rPr>
            </w:pPr>
            <w:r>
              <w:rPr>
                <w:rFonts w:hint="eastAsia" w:ascii="仿宋" w:hAnsi="仿宋" w:eastAsia="仿宋"/>
                <w:b/>
                <w:sz w:val="28"/>
                <w:szCs w:val="28"/>
                <w:lang w:val="en-US" w:eastAsia="zh-CN"/>
              </w:rPr>
              <w:t>寒假作业检查讲解</w:t>
            </w:r>
          </w:p>
        </w:tc>
        <w:tc>
          <w:tcPr>
            <w:tcW w:w="1439" w:type="dxa"/>
          </w:tcPr>
          <w:p w14:paraId="36C470C0">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7F855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1198" w:type="dxa"/>
            <w:vAlign w:val="center"/>
          </w:tcPr>
          <w:p w14:paraId="320059DC">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2</w:t>
            </w:r>
          </w:p>
        </w:tc>
        <w:tc>
          <w:tcPr>
            <w:tcW w:w="1695" w:type="dxa"/>
            <w:vAlign w:val="center"/>
          </w:tcPr>
          <w:p w14:paraId="2F93E455">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第2周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tcPr>
          <w:p w14:paraId="78E034FB">
            <w:pPr>
              <w:jc w:val="center"/>
              <w:rPr>
                <w:rFonts w:hint="default" w:ascii="仿宋" w:hAnsi="仿宋" w:eastAsia="仿宋"/>
                <w:b/>
                <w:sz w:val="28"/>
                <w:szCs w:val="28"/>
                <w:lang w:val="en-US" w:eastAsia="zh-CN"/>
              </w:rPr>
            </w:pPr>
            <w:r>
              <w:rPr>
                <w:rFonts w:hint="eastAsia" w:ascii="仿宋" w:hAnsi="仿宋" w:eastAsia="仿宋"/>
                <w:b/>
                <w:sz w:val="28"/>
                <w:szCs w:val="28"/>
                <w:lang w:val="en-US" w:eastAsia="zh-CN"/>
              </w:rPr>
              <w:t>上册知识点复习</w:t>
            </w:r>
          </w:p>
        </w:tc>
        <w:tc>
          <w:tcPr>
            <w:tcW w:w="1439" w:type="dxa"/>
          </w:tcPr>
          <w:p w14:paraId="7AAB7ACD">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07018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198" w:type="dxa"/>
            <w:vAlign w:val="center"/>
          </w:tcPr>
          <w:p w14:paraId="08206906">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3</w:t>
            </w:r>
          </w:p>
        </w:tc>
        <w:tc>
          <w:tcPr>
            <w:tcW w:w="1695" w:type="dxa"/>
            <w:vAlign w:val="center"/>
          </w:tcPr>
          <w:p w14:paraId="10AA380B">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第3周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3AF645E2">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图形的运动（二）</w:t>
            </w:r>
          </w:p>
        </w:tc>
        <w:tc>
          <w:tcPr>
            <w:tcW w:w="1439" w:type="dxa"/>
          </w:tcPr>
          <w:p w14:paraId="50120374">
            <w:pPr>
              <w:jc w:val="center"/>
              <w:rPr>
                <w:rFonts w:hint="default" w:ascii="仿宋" w:hAnsi="仿宋" w:eastAsia="仿宋"/>
                <w:b/>
                <w:sz w:val="28"/>
                <w:szCs w:val="28"/>
                <w:lang w:val="en-US" w:eastAsia="zh-CN"/>
              </w:rPr>
            </w:pPr>
            <w:r>
              <w:rPr>
                <w:rFonts w:hint="eastAsia" w:ascii="仿宋" w:hAnsi="仿宋" w:eastAsia="仿宋"/>
                <w:b/>
                <w:sz w:val="28"/>
                <w:szCs w:val="28"/>
                <w:lang w:val="en-US" w:eastAsia="zh-CN"/>
              </w:rPr>
              <w:t>5</w:t>
            </w:r>
          </w:p>
        </w:tc>
      </w:tr>
      <w:tr w14:paraId="2EDF7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198" w:type="dxa"/>
            <w:vAlign w:val="center"/>
          </w:tcPr>
          <w:p w14:paraId="7BA12608">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4</w:t>
            </w:r>
          </w:p>
        </w:tc>
        <w:tc>
          <w:tcPr>
            <w:tcW w:w="1695" w:type="dxa"/>
            <w:vAlign w:val="center"/>
          </w:tcPr>
          <w:p w14:paraId="447F90DB">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第4周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21AD3057">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加法运算定律（例1、2、3）</w:t>
            </w:r>
          </w:p>
        </w:tc>
        <w:tc>
          <w:tcPr>
            <w:tcW w:w="1439" w:type="dxa"/>
          </w:tcPr>
          <w:p w14:paraId="6A5BCBB4">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2F2A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21DA349C">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5</w:t>
            </w:r>
          </w:p>
        </w:tc>
        <w:tc>
          <w:tcPr>
            <w:tcW w:w="1695" w:type="dxa"/>
            <w:vAlign w:val="center"/>
          </w:tcPr>
          <w:p w14:paraId="7BDFEF22">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第5周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341D3395">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加法运算定律（例4）、乘法运算定律（例5、6、7）</w:t>
            </w:r>
          </w:p>
        </w:tc>
        <w:tc>
          <w:tcPr>
            <w:tcW w:w="1439" w:type="dxa"/>
          </w:tcPr>
          <w:p w14:paraId="0D9EA25F">
            <w:pPr>
              <w:jc w:val="center"/>
              <w:rPr>
                <w:rFonts w:hint="default" w:ascii="仿宋" w:hAnsi="仿宋" w:eastAsia="仿宋"/>
                <w:b/>
                <w:sz w:val="28"/>
                <w:szCs w:val="28"/>
                <w:lang w:val="en-US" w:eastAsia="zh-CN"/>
              </w:rPr>
            </w:pPr>
            <w:r>
              <w:rPr>
                <w:rFonts w:hint="eastAsia" w:ascii="仿宋" w:hAnsi="仿宋" w:eastAsia="仿宋"/>
                <w:b/>
                <w:sz w:val="28"/>
                <w:szCs w:val="28"/>
                <w:lang w:val="en-US" w:eastAsia="zh-CN"/>
              </w:rPr>
              <w:t>5</w:t>
            </w:r>
          </w:p>
        </w:tc>
      </w:tr>
      <w:tr w14:paraId="3A25A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6B23B836">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6</w:t>
            </w:r>
          </w:p>
        </w:tc>
        <w:tc>
          <w:tcPr>
            <w:tcW w:w="1695" w:type="dxa"/>
            <w:vAlign w:val="center"/>
          </w:tcPr>
          <w:p w14:paraId="441F28FE">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第6周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28052BD5">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乘法运算定律（例8、9）</w:t>
            </w:r>
          </w:p>
        </w:tc>
        <w:tc>
          <w:tcPr>
            <w:tcW w:w="1439" w:type="dxa"/>
            <w:vAlign w:val="top"/>
          </w:tcPr>
          <w:p w14:paraId="73933053">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0C3E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4B6C772B">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7</w:t>
            </w:r>
          </w:p>
        </w:tc>
        <w:tc>
          <w:tcPr>
            <w:tcW w:w="1695" w:type="dxa"/>
            <w:vAlign w:val="center"/>
          </w:tcPr>
          <w:p w14:paraId="262D9F52">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第7周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36B2E239">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整理和复习</w:t>
            </w:r>
          </w:p>
        </w:tc>
        <w:tc>
          <w:tcPr>
            <w:tcW w:w="1439" w:type="dxa"/>
            <w:vAlign w:val="top"/>
          </w:tcPr>
          <w:p w14:paraId="247CBB49">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50402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29E38CA0">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8</w:t>
            </w:r>
          </w:p>
        </w:tc>
        <w:tc>
          <w:tcPr>
            <w:tcW w:w="1695" w:type="dxa"/>
            <w:vAlign w:val="center"/>
          </w:tcPr>
          <w:p w14:paraId="77385562">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第8周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6EF55C69">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小数的意义和读写法</w:t>
            </w:r>
          </w:p>
        </w:tc>
        <w:tc>
          <w:tcPr>
            <w:tcW w:w="1439" w:type="dxa"/>
            <w:vAlign w:val="top"/>
          </w:tcPr>
          <w:p w14:paraId="30E2DBF2">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36677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1C7F17D6">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9</w:t>
            </w:r>
          </w:p>
        </w:tc>
        <w:tc>
          <w:tcPr>
            <w:tcW w:w="1695" w:type="dxa"/>
            <w:vAlign w:val="center"/>
          </w:tcPr>
          <w:p w14:paraId="3B7D4D84">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第9周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1446A373">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小数的性质和大小比较</w:t>
            </w:r>
          </w:p>
        </w:tc>
        <w:tc>
          <w:tcPr>
            <w:tcW w:w="1439" w:type="dxa"/>
            <w:vAlign w:val="top"/>
          </w:tcPr>
          <w:p w14:paraId="279FA826">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1C7B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53DDEF03">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10</w:t>
            </w:r>
          </w:p>
        </w:tc>
        <w:tc>
          <w:tcPr>
            <w:tcW w:w="1695" w:type="dxa"/>
            <w:vAlign w:val="center"/>
          </w:tcPr>
          <w:p w14:paraId="05DAEF2C">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第10周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3AEEB662">
            <w:pPr>
              <w:jc w:val="center"/>
              <w:rPr>
                <w:rFonts w:hint="eastAsia"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小数点移动引起小数大小的变化</w:t>
            </w:r>
          </w:p>
        </w:tc>
        <w:tc>
          <w:tcPr>
            <w:tcW w:w="1439" w:type="dxa"/>
            <w:vAlign w:val="top"/>
          </w:tcPr>
          <w:p w14:paraId="7E36DBCA">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4A31B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044A0593">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11</w:t>
            </w:r>
          </w:p>
        </w:tc>
        <w:tc>
          <w:tcPr>
            <w:tcW w:w="1695" w:type="dxa"/>
            <w:vAlign w:val="center"/>
          </w:tcPr>
          <w:p w14:paraId="271BD55B">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第11周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504FEAE6">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小数与单位换算</w:t>
            </w:r>
          </w:p>
        </w:tc>
        <w:tc>
          <w:tcPr>
            <w:tcW w:w="1439" w:type="dxa"/>
            <w:vAlign w:val="top"/>
          </w:tcPr>
          <w:p w14:paraId="1CAC3396">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2103D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5121D0E8">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12</w:t>
            </w:r>
          </w:p>
        </w:tc>
        <w:tc>
          <w:tcPr>
            <w:tcW w:w="1695" w:type="dxa"/>
            <w:vAlign w:val="center"/>
          </w:tcPr>
          <w:p w14:paraId="29D4B81A">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第12周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05BE5A0D">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小数的近似数</w:t>
            </w:r>
          </w:p>
        </w:tc>
        <w:tc>
          <w:tcPr>
            <w:tcW w:w="1439" w:type="dxa"/>
            <w:vAlign w:val="top"/>
          </w:tcPr>
          <w:p w14:paraId="532DC488">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0249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4F08513D">
            <w:pPr>
              <w:widowControl/>
              <w:jc w:val="center"/>
              <w:rPr>
                <w:rFonts w:hint="default"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13</w:t>
            </w:r>
          </w:p>
        </w:tc>
        <w:tc>
          <w:tcPr>
            <w:tcW w:w="1695" w:type="dxa"/>
            <w:vAlign w:val="center"/>
          </w:tcPr>
          <w:p w14:paraId="5592C2E9">
            <w:pPr>
              <w:jc w:val="center"/>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第13周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5EAF4DFA">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整理和复习期中复习</w:t>
            </w:r>
          </w:p>
        </w:tc>
        <w:tc>
          <w:tcPr>
            <w:tcW w:w="1439" w:type="dxa"/>
            <w:vAlign w:val="top"/>
          </w:tcPr>
          <w:p w14:paraId="2285E086">
            <w:pPr>
              <w:jc w:val="center"/>
              <w:rPr>
                <w:rFonts w:hint="eastAsia" w:ascii="仿宋" w:hAnsi="仿宋" w:eastAsia="仿宋"/>
                <w:b/>
                <w:sz w:val="28"/>
                <w:szCs w:val="28"/>
                <w:lang w:val="en-US" w:eastAsia="zh-CN"/>
              </w:rPr>
            </w:pPr>
          </w:p>
        </w:tc>
      </w:tr>
      <w:tr w14:paraId="5165A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198EF0D1">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14</w:t>
            </w:r>
          </w:p>
        </w:tc>
        <w:tc>
          <w:tcPr>
            <w:tcW w:w="1695" w:type="dxa"/>
            <w:vAlign w:val="center"/>
          </w:tcPr>
          <w:p w14:paraId="13905933">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第14周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48D6AD49">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整理和复习期中复习、期中考试</w:t>
            </w:r>
          </w:p>
        </w:tc>
        <w:tc>
          <w:tcPr>
            <w:tcW w:w="1439" w:type="dxa"/>
            <w:vAlign w:val="top"/>
          </w:tcPr>
          <w:p w14:paraId="381B176B">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1A192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493BC380">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15</w:t>
            </w:r>
          </w:p>
        </w:tc>
        <w:tc>
          <w:tcPr>
            <w:tcW w:w="1695" w:type="dxa"/>
            <w:vAlign w:val="center"/>
          </w:tcPr>
          <w:p w14:paraId="4BCF9C3D">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第15周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3CB6DBCA">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三角形的特性、三角形的分类</w:t>
            </w:r>
          </w:p>
        </w:tc>
        <w:tc>
          <w:tcPr>
            <w:tcW w:w="1439" w:type="dxa"/>
            <w:vAlign w:val="top"/>
          </w:tcPr>
          <w:p w14:paraId="24366BC0">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47653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51480DAF">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16</w:t>
            </w:r>
          </w:p>
        </w:tc>
        <w:tc>
          <w:tcPr>
            <w:tcW w:w="1695" w:type="dxa"/>
            <w:vAlign w:val="center"/>
          </w:tcPr>
          <w:p w14:paraId="111BF3F0">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第16周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14891EE0">
            <w:pPr>
              <w:jc w:val="center"/>
              <w:rPr>
                <w:rFonts w:hint="eastAsia"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三角形的三边关系</w:t>
            </w:r>
          </w:p>
        </w:tc>
        <w:tc>
          <w:tcPr>
            <w:tcW w:w="1439" w:type="dxa"/>
            <w:vAlign w:val="top"/>
          </w:tcPr>
          <w:p w14:paraId="4159C0DC">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6F738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08CCA11A">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17</w:t>
            </w:r>
          </w:p>
        </w:tc>
        <w:tc>
          <w:tcPr>
            <w:tcW w:w="1695" w:type="dxa"/>
            <w:vAlign w:val="center"/>
          </w:tcPr>
          <w:p w14:paraId="41082C69">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第17周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49810232">
            <w:pPr>
              <w:jc w:val="center"/>
              <w:rPr>
                <w:rFonts w:hint="default"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三角形的内角和、整理和复习</w:t>
            </w:r>
          </w:p>
        </w:tc>
        <w:tc>
          <w:tcPr>
            <w:tcW w:w="1439" w:type="dxa"/>
          </w:tcPr>
          <w:p w14:paraId="74183C4B">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tr w14:paraId="34749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62D45F6A">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18</w:t>
            </w:r>
          </w:p>
        </w:tc>
        <w:tc>
          <w:tcPr>
            <w:tcW w:w="1695" w:type="dxa"/>
            <w:vAlign w:val="center"/>
          </w:tcPr>
          <w:p w14:paraId="64401154">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第18周</w:t>
            </w:r>
          </w:p>
        </w:tc>
        <w:tc>
          <w:tcPr>
            <w:tcW w:w="4646" w:type="dxa"/>
            <w:vAlign w:val="top"/>
          </w:tcPr>
          <w:p w14:paraId="4064CBF4">
            <w:pPr>
              <w:jc w:val="center"/>
              <w:rPr>
                <w:rFonts w:hint="eastAsia"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小数加减法、小数加减混合运算</w:t>
            </w:r>
          </w:p>
        </w:tc>
        <w:tc>
          <w:tcPr>
            <w:tcW w:w="1439" w:type="dxa"/>
          </w:tcPr>
          <w:p w14:paraId="1829D5AC">
            <w:pPr>
              <w:jc w:val="center"/>
              <w:rPr>
                <w:rFonts w:hint="eastAsia" w:ascii="仿宋" w:hAnsi="仿宋" w:eastAsia="仿宋"/>
                <w:b/>
                <w:sz w:val="28"/>
                <w:szCs w:val="28"/>
                <w:lang w:val="en-US" w:eastAsia="zh-CN"/>
              </w:rPr>
            </w:pPr>
            <w:r>
              <w:rPr>
                <w:rFonts w:hint="eastAsia" w:ascii="仿宋" w:hAnsi="仿宋" w:eastAsia="仿宋"/>
                <w:b/>
                <w:sz w:val="28"/>
                <w:szCs w:val="28"/>
                <w:lang w:val="en-US" w:eastAsia="zh-CN"/>
              </w:rPr>
              <w:t>5</w:t>
            </w:r>
          </w:p>
        </w:tc>
      </w:tr>
      <w:bookmarkEnd w:id="0"/>
      <w:tr w14:paraId="2CD22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55F42387">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19</w:t>
            </w:r>
          </w:p>
        </w:tc>
        <w:tc>
          <w:tcPr>
            <w:tcW w:w="1695" w:type="dxa"/>
            <w:vAlign w:val="center"/>
          </w:tcPr>
          <w:p w14:paraId="5FC39007">
            <w:pPr>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第19周</w:t>
            </w:r>
          </w:p>
        </w:tc>
        <w:tc>
          <w:tcPr>
            <w:tcW w:w="4646" w:type="dxa"/>
            <w:vAlign w:val="top"/>
          </w:tcPr>
          <w:p w14:paraId="6147371B">
            <w:pPr>
              <w:jc w:val="center"/>
              <w:rPr>
                <w:rFonts w:hint="eastAsia"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整数加法运算定律推广到小数、平均数</w:t>
            </w:r>
          </w:p>
        </w:tc>
        <w:tc>
          <w:tcPr>
            <w:tcW w:w="1439" w:type="dxa"/>
          </w:tcPr>
          <w:p w14:paraId="6B8E375F">
            <w:pPr>
              <w:jc w:val="center"/>
              <w:rPr>
                <w:rFonts w:hint="default" w:ascii="仿宋" w:hAnsi="仿宋" w:eastAsia="仿宋"/>
                <w:b/>
                <w:sz w:val="28"/>
                <w:szCs w:val="28"/>
                <w:lang w:val="en-US" w:eastAsia="zh-CN"/>
              </w:rPr>
            </w:pPr>
            <w:r>
              <w:rPr>
                <w:rFonts w:hint="eastAsia" w:ascii="仿宋" w:hAnsi="仿宋" w:eastAsia="仿宋"/>
                <w:b/>
                <w:sz w:val="28"/>
                <w:szCs w:val="28"/>
                <w:lang w:val="en-US" w:eastAsia="zh-CN"/>
              </w:rPr>
              <w:t>5</w:t>
            </w:r>
          </w:p>
        </w:tc>
      </w:tr>
      <w:tr w14:paraId="3B2B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4885380D">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20</w:t>
            </w:r>
          </w:p>
        </w:tc>
        <w:tc>
          <w:tcPr>
            <w:tcW w:w="1695" w:type="dxa"/>
            <w:vAlign w:val="center"/>
          </w:tcPr>
          <w:p w14:paraId="2C7DD13D">
            <w:pPr>
              <w:widowControl/>
              <w:jc w:val="center"/>
              <w:rPr>
                <w:rFonts w:hint="default"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第20周</w:t>
            </w:r>
          </w:p>
        </w:tc>
        <w:tc>
          <w:tcPr>
            <w:tcW w:w="4646" w:type="dxa"/>
            <w:vAlign w:val="top"/>
          </w:tcPr>
          <w:p w14:paraId="41EEC1EB">
            <w:pPr>
              <w:jc w:val="center"/>
              <w:rPr>
                <w:rFonts w:hint="eastAsia" w:ascii="仿宋" w:hAnsi="仿宋" w:eastAsia="仿宋" w:cstheme="minorBidi"/>
                <w:b/>
                <w:kern w:val="2"/>
                <w:sz w:val="28"/>
                <w:szCs w:val="28"/>
                <w:lang w:val="en-US" w:eastAsia="zh-CN" w:bidi="ar-SA"/>
              </w:rPr>
            </w:pPr>
            <w:r>
              <w:rPr>
                <w:rFonts w:hint="eastAsia" w:ascii="仿宋" w:hAnsi="仿宋" w:eastAsia="仿宋"/>
                <w:b/>
                <w:sz w:val="28"/>
                <w:szCs w:val="28"/>
                <w:lang w:val="en-US" w:eastAsia="zh-CN"/>
              </w:rPr>
              <w:t>复式条形统计图、营养早餐</w:t>
            </w:r>
          </w:p>
        </w:tc>
        <w:tc>
          <w:tcPr>
            <w:tcW w:w="1439" w:type="dxa"/>
          </w:tcPr>
          <w:p w14:paraId="1AA65D53">
            <w:pPr>
              <w:jc w:val="center"/>
              <w:rPr>
                <w:rFonts w:hint="default" w:ascii="仿宋" w:hAnsi="仿宋" w:eastAsia="仿宋"/>
                <w:b/>
                <w:sz w:val="28"/>
                <w:szCs w:val="28"/>
                <w:lang w:val="en-US" w:eastAsia="zh-CN"/>
              </w:rPr>
            </w:pPr>
            <w:r>
              <w:rPr>
                <w:rFonts w:hint="eastAsia" w:ascii="仿宋" w:hAnsi="仿宋" w:eastAsia="仿宋"/>
                <w:b/>
                <w:sz w:val="28"/>
                <w:szCs w:val="28"/>
                <w:lang w:val="en-US" w:eastAsia="zh-CN"/>
              </w:rPr>
              <w:t>5</w:t>
            </w:r>
          </w:p>
        </w:tc>
      </w:tr>
      <w:tr w14:paraId="220D5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1" w:hRule="atLeast"/>
        </w:trPr>
        <w:tc>
          <w:tcPr>
            <w:tcW w:w="1198" w:type="dxa"/>
            <w:vAlign w:val="center"/>
          </w:tcPr>
          <w:p w14:paraId="7AFF59A9">
            <w:pPr>
              <w:widowControl/>
              <w:jc w:val="center"/>
              <w:rPr>
                <w:rFonts w:hint="default" w:ascii="仿宋" w:hAnsi="仿宋" w:eastAsia="仿宋" w:cstheme="minorBidi"/>
                <w:kern w:val="2"/>
                <w:sz w:val="24"/>
                <w:szCs w:val="24"/>
                <w:lang w:val="en-US" w:eastAsia="zh-CN" w:bidi="ar-SA"/>
              </w:rPr>
            </w:pPr>
            <w:r>
              <w:rPr>
                <w:rFonts w:hint="eastAsia" w:ascii="仿宋" w:hAnsi="仿宋" w:eastAsia="仿宋" w:cstheme="minorBidi"/>
                <w:kern w:val="2"/>
                <w:sz w:val="24"/>
                <w:szCs w:val="24"/>
                <w:lang w:val="en-US" w:eastAsia="zh-CN" w:bidi="ar-SA"/>
              </w:rPr>
              <w:t>21</w:t>
            </w:r>
          </w:p>
        </w:tc>
        <w:tc>
          <w:tcPr>
            <w:tcW w:w="1695" w:type="dxa"/>
            <w:vAlign w:val="center"/>
          </w:tcPr>
          <w:p w14:paraId="7576EDFD">
            <w:pPr>
              <w:widowControl/>
              <w:jc w:val="center"/>
              <w:rPr>
                <w:rFonts w:hint="eastAsia" w:ascii="仿宋" w:hAnsi="仿宋" w:eastAsia="仿宋" w:cstheme="minorBidi"/>
                <w:kern w:val="2"/>
                <w:sz w:val="24"/>
                <w:szCs w:val="24"/>
                <w:lang w:val="en-US" w:eastAsia="zh-CN" w:bidi="ar-SA"/>
              </w:rPr>
            </w:pPr>
            <w:r>
              <w:rPr>
                <w:rFonts w:hint="eastAsia" w:ascii="仿宋" w:hAnsi="仿宋" w:eastAsia="仿宋" w:cs="仿宋"/>
                <w:i w:val="0"/>
                <w:iCs w:val="0"/>
                <w:color w:val="auto"/>
                <w:kern w:val="0"/>
                <w:sz w:val="24"/>
                <w:szCs w:val="24"/>
                <w:u w:val="none"/>
                <w:lang w:val="en-US" w:eastAsia="zh-CN" w:bidi="ar"/>
              </w:rPr>
              <w:t>第21周</w:t>
            </w:r>
            <w:r>
              <w:rPr>
                <w:rFonts w:hint="eastAsia" w:ascii="仿宋" w:hAnsi="仿宋" w:eastAsia="仿宋" w:cs="仿宋"/>
                <w:i w:val="0"/>
                <w:iCs w:val="0"/>
                <w:color w:val="auto"/>
                <w:kern w:val="0"/>
                <w:sz w:val="24"/>
                <w:szCs w:val="24"/>
                <w:u w:val="none"/>
                <w:lang w:val="en-US" w:eastAsia="zh-CN" w:bidi="ar"/>
              </w:rPr>
              <w:br w:type="textWrapping"/>
            </w:r>
          </w:p>
        </w:tc>
        <w:tc>
          <w:tcPr>
            <w:tcW w:w="4646" w:type="dxa"/>
            <w:vAlign w:val="top"/>
          </w:tcPr>
          <w:p w14:paraId="23B5CAB7">
            <w:pPr>
              <w:jc w:val="center"/>
              <w:rPr>
                <w:rFonts w:hint="default" w:ascii="仿宋" w:hAnsi="仿宋" w:eastAsia="仿宋" w:cstheme="minorBidi"/>
                <w:b/>
                <w:kern w:val="2"/>
                <w:sz w:val="28"/>
                <w:szCs w:val="28"/>
                <w:lang w:val="en-US" w:eastAsia="zh-CN" w:bidi="ar-SA"/>
              </w:rPr>
            </w:pPr>
            <w:r>
              <w:rPr>
                <w:rFonts w:hint="eastAsia" w:ascii="仿宋" w:hAnsi="仿宋" w:eastAsia="仿宋" w:cstheme="minorBidi"/>
                <w:b/>
                <w:kern w:val="2"/>
                <w:sz w:val="28"/>
                <w:szCs w:val="28"/>
                <w:lang w:val="en-US" w:eastAsia="zh-CN" w:bidi="ar-SA"/>
              </w:rPr>
              <w:t>总复习、</w:t>
            </w:r>
            <w:r>
              <w:rPr>
                <w:rFonts w:hint="eastAsia" w:ascii="仿宋" w:hAnsi="仿宋" w:eastAsia="仿宋"/>
                <w:b/>
                <w:sz w:val="28"/>
                <w:szCs w:val="28"/>
                <w:lang w:eastAsia="zh-CN"/>
              </w:rPr>
              <w:t>期末测试</w:t>
            </w:r>
          </w:p>
        </w:tc>
        <w:tc>
          <w:tcPr>
            <w:tcW w:w="1439" w:type="dxa"/>
          </w:tcPr>
          <w:p w14:paraId="0D696006">
            <w:pPr>
              <w:jc w:val="center"/>
              <w:rPr>
                <w:rFonts w:hint="default" w:ascii="仿宋" w:hAnsi="仿宋" w:eastAsia="仿宋"/>
                <w:b/>
                <w:sz w:val="28"/>
                <w:szCs w:val="28"/>
                <w:lang w:val="en-US" w:eastAsia="zh-CN"/>
              </w:rPr>
            </w:pPr>
            <w:r>
              <w:rPr>
                <w:rFonts w:hint="eastAsia" w:ascii="仿宋" w:hAnsi="仿宋" w:eastAsia="仿宋"/>
                <w:b/>
                <w:sz w:val="28"/>
                <w:szCs w:val="28"/>
                <w:lang w:val="en-US" w:eastAsia="zh-CN"/>
              </w:rPr>
              <w:t>5</w:t>
            </w:r>
          </w:p>
        </w:tc>
      </w:tr>
    </w:tbl>
    <w:p w14:paraId="20ED2699">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 w:hAnsi="仿宋" w:eastAsia="仿宋" w:cs="仿宋"/>
          <w:kern w:val="2"/>
          <w:sz w:val="32"/>
          <w:szCs w:val="32"/>
          <w:lang w:val="en-US" w:eastAsia="zh-CN" w:bidi="ar-SA"/>
        </w:rPr>
      </w:pPr>
    </w:p>
    <w:p w14:paraId="0BC5BA9B">
      <w:pPr>
        <w:jc w:val="both"/>
        <w:rPr>
          <w:rFonts w:ascii="仿宋" w:hAnsi="仿宋" w:eastAsia="仿宋"/>
          <w:b/>
          <w:sz w:val="32"/>
          <w:szCs w:val="32"/>
        </w:rPr>
      </w:pPr>
    </w:p>
    <w:p w14:paraId="2753F003">
      <w:pPr>
        <w:jc w:val="center"/>
        <w:rPr>
          <w:rFonts w:ascii="仿宋" w:hAnsi="仿宋" w:eastAsia="仿宋"/>
          <w:b/>
          <w:sz w:val="32"/>
          <w:szCs w:val="32"/>
        </w:rPr>
      </w:pPr>
    </w:p>
    <w:p w14:paraId="48B6DC50">
      <w:pPr>
        <w:jc w:val="both"/>
        <w:rPr>
          <w:rFonts w:ascii="仿宋" w:hAnsi="仿宋" w:eastAsia="仿宋"/>
          <w:b/>
          <w:sz w:val="32"/>
          <w:szCs w:val="32"/>
        </w:rPr>
      </w:pPr>
    </w:p>
    <w:p w14:paraId="00E57E88">
      <w:pPr>
        <w:jc w:val="center"/>
      </w:pPr>
    </w:p>
    <w:p w14:paraId="1C400EB6">
      <w:pPr>
        <w:jc w:val="center"/>
      </w:pPr>
    </w:p>
    <w:p w14:paraId="1DB23853">
      <w:pPr>
        <w:jc w:val="center"/>
      </w:pPr>
    </w:p>
    <w:p w14:paraId="74396D62">
      <w:pPr>
        <w:rPr>
          <w:rFonts w:ascii="仿宋" w:hAnsi="仿宋" w:eastAsia="仿宋"/>
          <w:b/>
          <w:sz w:val="32"/>
          <w:szCs w:val="32"/>
        </w:rPr>
      </w:pPr>
    </w:p>
    <w:p w14:paraId="04235514">
      <w:pPr>
        <w:jc w:val="both"/>
        <w:rPr>
          <w:rFonts w:hint="eastAsia" w:ascii="仿宋" w:hAnsi="仿宋" w:eastAsia="仿宋"/>
          <w:b/>
          <w:sz w:val="32"/>
          <w:szCs w:val="32"/>
        </w:rPr>
      </w:pPr>
    </w:p>
    <w:p w14:paraId="4905B2E2">
      <w:pPr>
        <w:rPr>
          <w:rFonts w:ascii="仿宋" w:hAnsi="仿宋" w:eastAsia="仿宋"/>
          <w:b/>
          <w:sz w:val="32"/>
          <w:szCs w:val="32"/>
        </w:rPr>
      </w:pPr>
    </w:p>
    <w:p w14:paraId="3DC03614"/>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docPartObj>
        <w:docPartGallery w:val="autotext"/>
      </w:docPartObj>
    </w:sdtPr>
    <w:sdtContent>
      <w:sdt>
        <w:sdtPr>
          <w:id w:val="1728636285"/>
          <w:docPartObj>
            <w:docPartGallery w:val="autotext"/>
          </w:docPartObj>
        </w:sdtPr>
        <w:sdtContent>
          <w:p w14:paraId="2D075F88">
            <w:pPr>
              <w:pStyle w:val="2"/>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Qpt0gAAAAQB&#10;AAAPAAAAAAAAAAEAIAAAACIAAABkcnMvZG93bnJldi54bWxQSwECFAAUAAAACACHTuJAcJnbbugB&#10;AAC7AwAADgAAAAAAAAABACAAAAAhAQAAZHJzL2Uyb0RvYy54bWxQSwUGAAAAAAYABgBZAQAAewUA&#10;AAAA&#10;">
                      <v:fill on="f" focussize="0,0"/>
                      <v:stroke weight="0.5pt" color="#000000 [3213]" miterlimit="8" joinstyle="miter"/>
                      <v:imagedata o:title=""/>
                      <o:lock v:ext="edit" aspectratio="f"/>
                    </v:line>
                  </w:pict>
                </mc:Fallback>
              </mc:AlternateContent>
            </w:r>
            <w:r>
              <w:rPr>
                <w:rFonts w:hint="eastAsia"/>
              </w:rPr>
              <w:t>聊城市特殊教育学校</w:t>
            </w:r>
          </w:p>
          <w:p w14:paraId="2A5E08D1">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0FA0B3B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iYmFmOGU5YWFlNGIyMjAzNTU5NWI1MmY0MTRmM2UifQ=="/>
    <w:docVar w:name="KSO_WPS_MARK_KEY" w:val="44040c93-9250-4f4c-8eae-2d4bb66055e6"/>
  </w:docVars>
  <w:rsids>
    <w:rsidRoot w:val="56B02E39"/>
    <w:rsid w:val="042551B3"/>
    <w:rsid w:val="07797F74"/>
    <w:rsid w:val="09045F63"/>
    <w:rsid w:val="092475EB"/>
    <w:rsid w:val="0B974E6D"/>
    <w:rsid w:val="1307247D"/>
    <w:rsid w:val="153100E0"/>
    <w:rsid w:val="19CC6629"/>
    <w:rsid w:val="1ABA46D4"/>
    <w:rsid w:val="1B2134D9"/>
    <w:rsid w:val="1EE461C3"/>
    <w:rsid w:val="1FEB3581"/>
    <w:rsid w:val="23885944"/>
    <w:rsid w:val="240A214E"/>
    <w:rsid w:val="27620F3F"/>
    <w:rsid w:val="34C17ADB"/>
    <w:rsid w:val="39FB44EB"/>
    <w:rsid w:val="3B254A69"/>
    <w:rsid w:val="3C3E4D0D"/>
    <w:rsid w:val="50191A7A"/>
    <w:rsid w:val="516E1798"/>
    <w:rsid w:val="547215A0"/>
    <w:rsid w:val="56A1431C"/>
    <w:rsid w:val="56B02E39"/>
    <w:rsid w:val="572745FE"/>
    <w:rsid w:val="58FE3FE4"/>
    <w:rsid w:val="627B3D15"/>
    <w:rsid w:val="6D535020"/>
    <w:rsid w:val="6F47455C"/>
    <w:rsid w:val="705A0172"/>
    <w:rsid w:val="717918DF"/>
    <w:rsid w:val="739C1D3D"/>
    <w:rsid w:val="7463285B"/>
    <w:rsid w:val="7A9044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402DHI\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7</Pages>
  <Words>2514</Words>
  <Characters>2735</Characters>
  <Lines>0</Lines>
  <Paragraphs>0</Paragraphs>
  <TotalTime>2</TotalTime>
  <ScaleCrop>false</ScaleCrop>
  <LinksUpToDate>false</LinksUpToDate>
  <CharactersWithSpaces>2786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2019-02-22T09:20:00Z</dcterms:created>
  <dc:creator>1405310111</dc:creator>
  <cp:lastModifiedBy>阿阿阿阿阿阿阿阿阿阿阿阿阿阿金.</cp:lastModifiedBy>
  <dcterms:modified xsi:type="dcterms:W3CDTF">2025-02-17T02:24:28Z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ED003515BED249CFB923993A69F6DD1D_13</vt:lpwstr>
  </property>
  <property fmtid="{D5CDD505-2E9C-101B-9397-08002B2CF9AE}" pid="4" name="KSOTemplateDocerSaveRecord">
    <vt:lpwstr>eyJoZGlkIjoiMDNjYTljMzFiMTk4NTdjY2IzZWU4YTk3M2RkY2JhNzAiLCJ1c2VySWQiOiI1MzQ2ODY1NzYifQ==</vt:lpwstr>
  </property>
</Properties>
</file>