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640" w:lineRule="exact"/>
        <w:jc w:val="center"/>
        <w:textAlignment w:val="auto"/>
        <w:rPr>
          <w:rFonts w:hint="eastAsia" w:ascii="华文中宋" w:hAnsi="华文中宋" w:eastAsia="华文中宋" w:cstheme="minorBidi"/>
          <w:b w:val="0"/>
          <w:bCs w:val="0"/>
          <w:kern w:val="2"/>
          <w:sz w:val="44"/>
          <w:szCs w:val="44"/>
          <w:lang w:eastAsia="zh-CN"/>
        </w:rPr>
      </w:pPr>
      <w:bookmarkStart w:id="0" w:name="_GoBack"/>
      <w:bookmarkEnd w:id="0"/>
      <w:r>
        <w:rPr>
          <w:rFonts w:ascii="华文中宋" w:hAnsi="华文中宋" w:eastAsia="华文中宋" w:cstheme="minorBidi"/>
          <w:b w:val="0"/>
          <w:bCs w:val="0"/>
          <w:kern w:val="2"/>
          <w:sz w:val="44"/>
          <w:szCs w:val="44"/>
        </w:rPr>
        <w:t>聊城市人民政府</w:t>
      </w:r>
      <w:r>
        <w:rPr>
          <w:rFonts w:hint="eastAsia" w:ascii="华文中宋" w:hAnsi="华文中宋" w:eastAsia="华文中宋" w:cstheme="minorBidi"/>
          <w:b w:val="0"/>
          <w:bCs w:val="0"/>
          <w:kern w:val="2"/>
          <w:sz w:val="44"/>
          <w:szCs w:val="44"/>
          <w:lang w:eastAsia="zh-CN"/>
        </w:rPr>
        <w:t>办公室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exact"/>
        <w:ind w:left="0" w:right="0" w:firstLine="645"/>
        <w:textAlignment w:val="auto"/>
        <w:rPr>
          <w:rFonts w:ascii="仿宋" w:hAnsi="仿宋" w:eastAsia="仿宋" w:cs="仿宋"/>
          <w:sz w:val="31"/>
          <w:szCs w:val="31"/>
        </w:rPr>
      </w:pPr>
      <w:r>
        <w:rPr>
          <w:rFonts w:ascii="华文中宋" w:hAnsi="华文中宋" w:eastAsia="华文中宋" w:cstheme="minorBidi"/>
          <w:b w:val="0"/>
          <w:bCs w:val="0"/>
          <w:kern w:val="2"/>
          <w:sz w:val="44"/>
          <w:szCs w:val="44"/>
        </w:rPr>
        <w:t>202</w:t>
      </w:r>
      <w:r>
        <w:rPr>
          <w:rFonts w:hint="eastAsia" w:ascii="华文中宋" w:hAnsi="华文中宋" w:eastAsia="华文中宋" w:cstheme="minorBidi"/>
          <w:b w:val="0"/>
          <w:bCs w:val="0"/>
          <w:kern w:val="2"/>
          <w:sz w:val="44"/>
          <w:szCs w:val="44"/>
          <w:lang w:val="en-US" w:eastAsia="zh-CN"/>
        </w:rPr>
        <w:t>3</w:t>
      </w:r>
      <w:r>
        <w:rPr>
          <w:rFonts w:ascii="华文中宋" w:hAnsi="华文中宋" w:eastAsia="华文中宋" w:cstheme="minorBidi"/>
          <w:b w:val="0"/>
          <w:bCs w:val="0"/>
          <w:kern w:val="2"/>
          <w:sz w:val="44"/>
          <w:szCs w:val="44"/>
        </w:rPr>
        <w:t>年政府信息公开工作年度报告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exact"/>
        <w:ind w:left="0" w:right="0" w:firstLine="645"/>
        <w:textAlignment w:val="auto"/>
        <w:rPr>
          <w:rFonts w:ascii="仿宋" w:hAnsi="仿宋" w:eastAsia="仿宋" w:cs="仿宋"/>
          <w:sz w:val="31"/>
          <w:szCs w:val="31"/>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exact"/>
        <w:ind w:left="0" w:right="0" w:firstLine="645"/>
        <w:textAlignment w:val="auto"/>
      </w:pPr>
      <w:r>
        <w:rPr>
          <w:rFonts w:ascii="仿宋" w:hAnsi="仿宋" w:eastAsia="仿宋" w:cs="仿宋"/>
          <w:sz w:val="31"/>
          <w:szCs w:val="31"/>
        </w:rPr>
        <w:t>根据《中华人民共和国政府信息公开条例》（国务院令第</w:t>
      </w:r>
      <w:r>
        <w:rPr>
          <w:rFonts w:ascii="仿宋_GB2312" w:eastAsia="仿宋_GB2312" w:cs="仿宋_GB2312"/>
          <w:sz w:val="31"/>
          <w:szCs w:val="31"/>
        </w:rPr>
        <w:t>711</w:t>
      </w:r>
      <w:r>
        <w:rPr>
          <w:rFonts w:hint="default" w:ascii="仿宋" w:hAnsi="仿宋" w:eastAsia="仿宋" w:cs="仿宋"/>
          <w:sz w:val="31"/>
          <w:szCs w:val="31"/>
        </w:rPr>
        <w:t>号，以下简称《条例》）、《国务院办公厅政府信息与政务公开办公室关于印发</w:t>
      </w:r>
      <w:r>
        <w:rPr>
          <w:rFonts w:hint="default" w:ascii="仿宋_GB2312" w:eastAsia="仿宋_GB2312" w:cs="仿宋_GB2312"/>
          <w:sz w:val="31"/>
          <w:szCs w:val="31"/>
        </w:rPr>
        <w:t>&lt;</w:t>
      </w:r>
      <w:r>
        <w:rPr>
          <w:rFonts w:hint="default" w:ascii="仿宋" w:hAnsi="仿宋" w:eastAsia="仿宋" w:cs="仿宋"/>
          <w:sz w:val="31"/>
          <w:szCs w:val="31"/>
        </w:rPr>
        <w:t>中华人民共和国政府信息公开工作年度报告格式</w:t>
      </w:r>
      <w:r>
        <w:rPr>
          <w:rFonts w:hint="default" w:ascii="仿宋_GB2312" w:eastAsia="仿宋_GB2312" w:cs="仿宋_GB2312"/>
          <w:sz w:val="31"/>
          <w:szCs w:val="31"/>
        </w:rPr>
        <w:t>&gt;</w:t>
      </w:r>
      <w:r>
        <w:rPr>
          <w:rFonts w:hint="default" w:ascii="仿宋" w:hAnsi="仿宋" w:eastAsia="仿宋" w:cs="仿宋"/>
          <w:sz w:val="31"/>
          <w:szCs w:val="31"/>
        </w:rPr>
        <w:t>的通知》</w:t>
      </w:r>
      <w:r>
        <w:rPr>
          <w:rFonts w:hint="default" w:ascii="仿宋_GB2312" w:eastAsia="仿宋_GB2312" w:cs="仿宋_GB2312"/>
          <w:sz w:val="31"/>
          <w:szCs w:val="31"/>
        </w:rPr>
        <w:t>(</w:t>
      </w:r>
      <w:r>
        <w:rPr>
          <w:rFonts w:hint="default" w:ascii="仿宋" w:hAnsi="仿宋" w:eastAsia="仿宋" w:cs="仿宋"/>
          <w:sz w:val="31"/>
          <w:szCs w:val="31"/>
        </w:rPr>
        <w:t>国办公开办函〔</w:t>
      </w:r>
      <w:r>
        <w:rPr>
          <w:rFonts w:hint="default" w:ascii="仿宋_GB2312" w:eastAsia="仿宋_GB2312" w:cs="仿宋_GB2312"/>
          <w:sz w:val="31"/>
          <w:szCs w:val="31"/>
        </w:rPr>
        <w:t>2021</w:t>
      </w:r>
      <w:r>
        <w:rPr>
          <w:rFonts w:hint="default" w:ascii="仿宋" w:hAnsi="仿宋" w:eastAsia="仿宋" w:cs="仿宋"/>
          <w:sz w:val="31"/>
          <w:szCs w:val="31"/>
        </w:rPr>
        <w:t>〕</w:t>
      </w:r>
      <w:r>
        <w:rPr>
          <w:rFonts w:hint="default" w:ascii="仿宋_GB2312" w:eastAsia="仿宋_GB2312" w:cs="仿宋_GB2312"/>
          <w:sz w:val="31"/>
          <w:szCs w:val="31"/>
        </w:rPr>
        <w:t>30</w:t>
      </w:r>
      <w:r>
        <w:rPr>
          <w:rFonts w:hint="default" w:ascii="仿宋" w:hAnsi="仿宋" w:eastAsia="仿宋" w:cs="仿宋"/>
          <w:sz w:val="31"/>
          <w:szCs w:val="31"/>
        </w:rPr>
        <w:t>号</w:t>
      </w:r>
      <w:r>
        <w:rPr>
          <w:rFonts w:hint="default" w:ascii="仿宋_GB2312" w:eastAsia="仿宋_GB2312" w:cs="仿宋_GB2312"/>
          <w:sz w:val="31"/>
          <w:szCs w:val="31"/>
        </w:rPr>
        <w:t>)</w:t>
      </w:r>
      <w:r>
        <w:rPr>
          <w:rFonts w:hint="default" w:ascii="仿宋" w:hAnsi="仿宋" w:eastAsia="仿宋" w:cs="仿宋"/>
          <w:sz w:val="31"/>
          <w:szCs w:val="31"/>
        </w:rPr>
        <w:t>要求，结合</w:t>
      </w:r>
      <w:r>
        <w:rPr>
          <w:rFonts w:hint="default" w:ascii="仿宋_GB2312" w:hAnsi="仿宋" w:eastAsia="仿宋_GB2312" w:cs="仿宋_GB2312"/>
          <w:sz w:val="31"/>
          <w:szCs w:val="31"/>
        </w:rPr>
        <w:t>202</w:t>
      </w:r>
      <w:r>
        <w:rPr>
          <w:rFonts w:hint="eastAsia" w:ascii="仿宋_GB2312" w:hAnsi="仿宋" w:eastAsia="仿宋_GB2312" w:cs="仿宋_GB2312"/>
          <w:sz w:val="31"/>
          <w:szCs w:val="31"/>
          <w:lang w:val="en-US" w:eastAsia="zh-CN"/>
        </w:rPr>
        <w:t>3</w:t>
      </w:r>
      <w:r>
        <w:rPr>
          <w:rFonts w:hint="default" w:ascii="仿宋" w:hAnsi="仿宋" w:eastAsia="仿宋" w:cs="仿宋"/>
          <w:sz w:val="31"/>
          <w:szCs w:val="31"/>
        </w:rPr>
        <w:t>年聊城市人民政府</w:t>
      </w:r>
      <w:r>
        <w:rPr>
          <w:rFonts w:hint="eastAsia" w:ascii="仿宋" w:hAnsi="仿宋" w:eastAsia="仿宋" w:cs="仿宋"/>
          <w:sz w:val="31"/>
          <w:szCs w:val="31"/>
          <w:lang w:eastAsia="zh-CN"/>
        </w:rPr>
        <w:t>办公室</w:t>
      </w:r>
      <w:r>
        <w:rPr>
          <w:rFonts w:hint="default" w:ascii="仿宋" w:hAnsi="仿宋" w:eastAsia="仿宋" w:cs="仿宋"/>
          <w:sz w:val="31"/>
          <w:szCs w:val="31"/>
        </w:rPr>
        <w:t>工作实际，编制发布本报告。全文内容包括总体情况、主动公开政府信息情况、收到和处理政府信息公开申请情况、因政府信息公开工作被申请行政复议和提起行政诉讼情况，存在的主要问题及改进情况及其他需报告的事项。本年度报告中所列数据统计期限从</w:t>
      </w:r>
      <w:r>
        <w:rPr>
          <w:rFonts w:hint="default" w:ascii="仿宋_GB2312" w:eastAsia="仿宋_GB2312" w:cs="仿宋_GB2312"/>
          <w:sz w:val="31"/>
          <w:szCs w:val="31"/>
        </w:rPr>
        <w:t>202</w:t>
      </w:r>
      <w:r>
        <w:rPr>
          <w:rFonts w:hint="eastAsia" w:ascii="仿宋_GB2312" w:eastAsia="仿宋_GB2312" w:cs="仿宋_GB2312"/>
          <w:sz w:val="31"/>
          <w:szCs w:val="31"/>
          <w:lang w:val="en-US" w:eastAsia="zh-CN"/>
        </w:rPr>
        <w:t>3</w:t>
      </w:r>
      <w:r>
        <w:rPr>
          <w:rFonts w:hint="default" w:ascii="仿宋" w:hAnsi="仿宋" w:eastAsia="仿宋" w:cs="仿宋"/>
          <w:sz w:val="31"/>
          <w:szCs w:val="31"/>
        </w:rPr>
        <w:t>年</w:t>
      </w:r>
      <w:r>
        <w:rPr>
          <w:rFonts w:hint="default" w:ascii="仿宋_GB2312" w:eastAsia="仿宋_GB2312" w:cs="仿宋_GB2312"/>
          <w:sz w:val="31"/>
          <w:szCs w:val="31"/>
        </w:rPr>
        <w:t>1</w:t>
      </w:r>
      <w:r>
        <w:rPr>
          <w:rFonts w:hint="default" w:ascii="仿宋" w:hAnsi="仿宋" w:eastAsia="仿宋" w:cs="仿宋"/>
          <w:sz w:val="31"/>
          <w:szCs w:val="31"/>
        </w:rPr>
        <w:t>月</w:t>
      </w:r>
      <w:r>
        <w:rPr>
          <w:rFonts w:hint="default" w:ascii="仿宋_GB2312" w:eastAsia="仿宋_GB2312" w:cs="仿宋_GB2312"/>
          <w:sz w:val="31"/>
          <w:szCs w:val="31"/>
        </w:rPr>
        <w:t>1</w:t>
      </w:r>
      <w:r>
        <w:rPr>
          <w:rFonts w:hint="default" w:ascii="仿宋" w:hAnsi="仿宋" w:eastAsia="仿宋" w:cs="仿宋"/>
          <w:sz w:val="31"/>
          <w:szCs w:val="31"/>
        </w:rPr>
        <w:t>日至</w:t>
      </w:r>
      <w:r>
        <w:rPr>
          <w:rFonts w:hint="default" w:ascii="仿宋_GB2312" w:eastAsia="仿宋_GB2312" w:cs="仿宋_GB2312"/>
          <w:sz w:val="31"/>
          <w:szCs w:val="31"/>
        </w:rPr>
        <w:t>12</w:t>
      </w:r>
      <w:r>
        <w:rPr>
          <w:rFonts w:hint="default" w:ascii="仿宋" w:hAnsi="仿宋" w:eastAsia="仿宋" w:cs="仿宋"/>
          <w:sz w:val="31"/>
          <w:szCs w:val="31"/>
        </w:rPr>
        <w:t>月</w:t>
      </w:r>
      <w:r>
        <w:rPr>
          <w:rFonts w:hint="default" w:ascii="仿宋_GB2312" w:eastAsia="仿宋_GB2312" w:cs="仿宋_GB2312"/>
          <w:sz w:val="31"/>
          <w:szCs w:val="31"/>
        </w:rPr>
        <w:t>31</w:t>
      </w:r>
      <w:r>
        <w:rPr>
          <w:rFonts w:hint="default" w:ascii="仿宋" w:hAnsi="仿宋" w:eastAsia="仿宋" w:cs="仿宋"/>
          <w:sz w:val="31"/>
          <w:szCs w:val="31"/>
        </w:rPr>
        <w:t>日止。本年度报告电子版可从聊城市人民政府门户网站（</w:t>
      </w:r>
      <w:r>
        <w:rPr>
          <w:rFonts w:hint="default" w:ascii="仿宋_GB2312" w:eastAsia="仿宋_GB2312" w:cs="仿宋_GB2312"/>
          <w:sz w:val="31"/>
          <w:szCs w:val="31"/>
        </w:rPr>
        <w:t>http://www.liaocheng.gov.cn</w:t>
      </w:r>
      <w:r>
        <w:rPr>
          <w:rFonts w:hint="default" w:ascii="仿宋" w:hAnsi="仿宋" w:eastAsia="仿宋" w:cs="仿宋"/>
          <w:sz w:val="31"/>
          <w:szCs w:val="31"/>
        </w:rPr>
        <w:t>）查阅或下载。</w:t>
      </w:r>
    </w:p>
    <w:p>
      <w:pPr>
        <w:pStyle w:val="5"/>
        <w:keepNext w:val="0"/>
        <w:keepLines w:val="0"/>
        <w:widowControl/>
        <w:suppressLineNumbers w:val="0"/>
        <w:spacing w:before="75" w:beforeAutospacing="0" w:after="75" w:afterAutospacing="0" w:line="645" w:lineRule="atLeast"/>
        <w:ind w:left="0" w:right="0" w:firstLine="645"/>
      </w:pPr>
      <w:r>
        <w:rPr>
          <w:rFonts w:ascii="黑体" w:hAnsi="宋体" w:eastAsia="黑体" w:cs="黑体"/>
          <w:sz w:val="31"/>
          <w:szCs w:val="31"/>
        </w:rPr>
        <w:t>一、总体情况</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_GB2312" w:cs="Times New Roman"/>
          <w:color w:val="000000"/>
          <w:spacing w:val="0"/>
          <w:sz w:val="32"/>
          <w:szCs w:val="32"/>
        </w:rPr>
      </w:pPr>
      <w:r>
        <w:rPr>
          <w:rFonts w:hint="eastAsia" w:ascii="Times New Roman" w:hAnsi="Times New Roman" w:eastAsia="仿宋_GB2312" w:cs="Times New Roman"/>
          <w:color w:val="000000"/>
          <w:spacing w:val="0"/>
          <w:sz w:val="32"/>
          <w:szCs w:val="32"/>
          <w:lang w:val="en-US" w:eastAsia="zh-CN"/>
        </w:rPr>
        <w:t>2023年</w:t>
      </w:r>
      <w:r>
        <w:rPr>
          <w:rFonts w:hint="default" w:ascii="Times New Roman" w:hAnsi="Times New Roman" w:eastAsia="仿宋_GB2312" w:cs="Times New Roman"/>
          <w:color w:val="000000"/>
          <w:spacing w:val="0"/>
          <w:sz w:val="32"/>
          <w:szCs w:val="32"/>
        </w:rPr>
        <w:t>，</w:t>
      </w:r>
      <w:r>
        <w:rPr>
          <w:rFonts w:hint="eastAsia" w:eastAsia="仿宋_GB2312" w:cs="Times New Roman"/>
          <w:color w:val="000000"/>
          <w:spacing w:val="0"/>
          <w:sz w:val="32"/>
          <w:szCs w:val="32"/>
          <w:lang w:val="en-US" w:eastAsia="zh-CN"/>
        </w:rPr>
        <w:t>聊城</w:t>
      </w:r>
      <w:r>
        <w:rPr>
          <w:rFonts w:hint="default" w:ascii="Times New Roman" w:hAnsi="Times New Roman" w:eastAsia="仿宋_GB2312" w:cs="Times New Roman"/>
          <w:color w:val="000000"/>
          <w:spacing w:val="0"/>
          <w:sz w:val="32"/>
          <w:szCs w:val="32"/>
        </w:rPr>
        <w:t>市</w:t>
      </w:r>
      <w:r>
        <w:rPr>
          <w:rFonts w:hint="eastAsia" w:ascii="Times New Roman" w:hAnsi="Times New Roman" w:eastAsia="仿宋_GB2312" w:cs="Times New Roman"/>
          <w:color w:val="000000"/>
          <w:spacing w:val="0"/>
          <w:sz w:val="32"/>
          <w:szCs w:val="32"/>
          <w:lang w:eastAsia="zh-CN"/>
        </w:rPr>
        <w:t>人民政府办公室</w:t>
      </w:r>
      <w:r>
        <w:rPr>
          <w:rFonts w:hint="default" w:ascii="Times New Roman" w:hAnsi="Times New Roman" w:eastAsia="仿宋_GB2312" w:cs="Times New Roman"/>
          <w:color w:val="000000"/>
          <w:spacing w:val="0"/>
          <w:sz w:val="32"/>
          <w:szCs w:val="32"/>
        </w:rPr>
        <w:t>以</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公开聊亮</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品牌为抓手，</w:t>
      </w:r>
      <w:r>
        <w:rPr>
          <w:rFonts w:hint="eastAsia" w:ascii="Times New Roman" w:hAnsi="Times New Roman" w:eastAsia="仿宋_GB2312" w:cs="Times New Roman"/>
          <w:color w:val="000000"/>
          <w:spacing w:val="0"/>
          <w:sz w:val="32"/>
          <w:szCs w:val="32"/>
          <w:lang w:eastAsia="zh-CN"/>
        </w:rPr>
        <w:t>监督指导市政府各部门扎实做好主动公开、</w:t>
      </w:r>
      <w:r>
        <w:rPr>
          <w:rFonts w:hint="default" w:ascii="Times New Roman" w:hAnsi="Times New Roman" w:eastAsia="仿宋_GB2312" w:cs="Times New Roman"/>
          <w:color w:val="000000"/>
          <w:spacing w:val="0"/>
          <w:sz w:val="32"/>
          <w:szCs w:val="32"/>
        </w:rPr>
        <w:t>不断优化公开平台</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拓展解读渠道、深化政民互动</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全市政务公开标准化规范化水平不断提升，</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公开聊亮</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品牌效应持续彰显。</w:t>
      </w:r>
    </w:p>
    <w:p>
      <w:pPr>
        <w:pStyle w:val="5"/>
        <w:keepNext w:val="0"/>
        <w:keepLines w:val="0"/>
        <w:widowControl/>
        <w:suppressLineNumbers w:val="0"/>
        <w:spacing w:before="75" w:beforeAutospacing="0" w:after="75" w:afterAutospacing="0"/>
        <w:ind w:left="0" w:right="0" w:firstLine="645"/>
        <w:rPr>
          <w:rFonts w:hint="default" w:ascii="仿宋_GB2312" w:eastAsia="仿宋_GB2312" w:cs="仿宋_GB2312"/>
          <w:sz w:val="31"/>
          <w:szCs w:val="31"/>
        </w:rPr>
      </w:pPr>
      <w:r>
        <w:rPr>
          <w:rFonts w:hint="eastAsia" w:ascii="仿宋_GB2312" w:eastAsia="仿宋_GB2312" w:cs="仿宋_GB2312"/>
          <w:b/>
          <w:bCs/>
          <w:sz w:val="31"/>
          <w:szCs w:val="31"/>
          <w:lang w:eastAsia="zh-CN"/>
        </w:rPr>
        <w:t>（一）主动公开。</w:t>
      </w:r>
      <w:r>
        <w:rPr>
          <w:rFonts w:hint="default" w:ascii="仿宋_GB2312" w:eastAsia="仿宋_GB2312" w:cs="仿宋_GB2312"/>
          <w:sz w:val="31"/>
          <w:szCs w:val="31"/>
        </w:rPr>
        <w:t>2023年主动公开市政府和市政府办公室政策文件64件，配发解读材料286件，其中，主要负责人带头解读政策49件，多角度解读政策66件；公开了市政府常务会议29次，全部配发了视频和图文解读，对部分重要议题进行了单独解读；编辑出版《聊城市人民政府公报》10期，实现了公报电子化。</w:t>
      </w:r>
    </w:p>
    <w:p>
      <w:pPr>
        <w:pStyle w:val="5"/>
        <w:keepNext w:val="0"/>
        <w:keepLines w:val="0"/>
        <w:widowControl/>
        <w:suppressLineNumbers w:val="0"/>
        <w:spacing w:before="75" w:beforeAutospacing="0" w:after="75" w:afterAutospacing="0"/>
        <w:ind w:left="0" w:right="0" w:firstLine="645"/>
        <w:rPr>
          <w:rFonts w:hint="default" w:ascii="仿宋_GB2312" w:eastAsia="仿宋_GB2312" w:cs="仿宋_GB2312"/>
          <w:sz w:val="31"/>
          <w:szCs w:val="31"/>
        </w:rPr>
      </w:pPr>
      <w:r>
        <w:rPr>
          <w:rFonts w:hint="default" w:ascii="仿宋_GB2312" w:eastAsia="仿宋_GB2312" w:cs="仿宋_GB2312"/>
          <w:b/>
          <w:bCs/>
          <w:sz w:val="31"/>
          <w:szCs w:val="31"/>
          <w:highlight w:val="none"/>
          <w:shd w:val="clear"/>
        </w:rPr>
        <w:t>（二）</w:t>
      </w:r>
      <w:r>
        <w:rPr>
          <w:rFonts w:hint="default" w:ascii="仿宋_GB2312" w:eastAsia="仿宋_GB2312" w:cs="仿宋_GB2312"/>
          <w:b/>
          <w:bCs/>
          <w:sz w:val="31"/>
          <w:szCs w:val="31"/>
        </w:rPr>
        <w:t>依申请公开。</w:t>
      </w:r>
      <w:r>
        <w:rPr>
          <w:rFonts w:hint="default" w:ascii="仿宋_GB2312" w:eastAsia="仿宋_GB2312" w:cs="仿宋_GB2312"/>
          <w:sz w:val="31"/>
          <w:szCs w:val="31"/>
        </w:rPr>
        <w:t>202</w:t>
      </w:r>
      <w:r>
        <w:rPr>
          <w:rFonts w:hint="eastAsia" w:ascii="仿宋_GB2312" w:eastAsia="仿宋_GB2312" w:cs="仿宋_GB2312"/>
          <w:sz w:val="31"/>
          <w:szCs w:val="31"/>
          <w:lang w:val="en-US" w:eastAsia="zh-CN"/>
        </w:rPr>
        <w:t>3</w:t>
      </w:r>
      <w:r>
        <w:rPr>
          <w:rFonts w:hint="default" w:ascii="仿宋_GB2312" w:eastAsia="仿宋_GB2312" w:cs="仿宋_GB2312"/>
          <w:sz w:val="31"/>
          <w:szCs w:val="31"/>
        </w:rPr>
        <w:t>年，未受理以聊城市人民政府办公室为被申请人的政府信息公开申请，未发生因政府信息公开引起的以聊城市人民政府办公室为复议被申请人或被告的行政复议或行政诉讼。</w:t>
      </w:r>
    </w:p>
    <w:p>
      <w:pPr>
        <w:pStyle w:val="5"/>
        <w:keepNext w:val="0"/>
        <w:keepLines w:val="0"/>
        <w:widowControl/>
        <w:suppressLineNumbers w:val="0"/>
        <w:spacing w:before="75" w:beforeAutospacing="0" w:after="75" w:afterAutospacing="0"/>
        <w:ind w:left="0" w:right="0" w:firstLine="645"/>
      </w:pPr>
      <w:r>
        <w:rPr>
          <w:rFonts w:hint="default" w:ascii="仿宋_GB2312" w:eastAsia="仿宋_GB2312" w:cs="仿宋_GB2312"/>
          <w:b/>
          <w:bCs/>
          <w:sz w:val="31"/>
          <w:szCs w:val="31"/>
        </w:rPr>
        <w:t>（三）政府信息管理。</w:t>
      </w:r>
      <w:r>
        <w:rPr>
          <w:rFonts w:hint="eastAsia" w:ascii="仿宋_GB2312" w:eastAsia="仿宋_GB2312" w:cs="仿宋_GB2312"/>
          <w:sz w:val="31"/>
          <w:szCs w:val="31"/>
          <w:lang w:eastAsia="zh-CN"/>
        </w:rPr>
        <w:t>进一步规范了政府规章和行政规范性文件发布管理，</w:t>
      </w:r>
      <w:r>
        <w:rPr>
          <w:rFonts w:hint="default" w:ascii="仿宋_GB2312" w:eastAsia="仿宋_GB2312" w:cs="仿宋_GB2312"/>
          <w:sz w:val="31"/>
          <w:szCs w:val="31"/>
        </w:rPr>
        <w:t>现行有效规章通过政府门户网站的政府信息公开专栏集中公开并提供下载。本年度制发规范性文件5件，废止0件，现行有效规范性文件27件。</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22" w:firstLineChars="200"/>
        <w:textAlignment w:val="auto"/>
        <w:rPr>
          <w:rFonts w:hint="default" w:ascii="仿宋_GB2312" w:eastAsia="仿宋_GB2312" w:cs="仿宋_GB2312"/>
          <w:sz w:val="31"/>
          <w:szCs w:val="31"/>
        </w:rPr>
      </w:pPr>
      <w:r>
        <w:rPr>
          <w:rFonts w:hint="eastAsia" w:ascii="仿宋_GB2312" w:eastAsia="仿宋_GB2312" w:cs="仿宋_GB2312"/>
          <w:b/>
          <w:bCs/>
          <w:sz w:val="31"/>
          <w:szCs w:val="31"/>
          <w:lang w:eastAsia="zh-CN"/>
        </w:rPr>
        <w:t>（四）</w:t>
      </w:r>
      <w:r>
        <w:rPr>
          <w:rFonts w:hint="default" w:ascii="仿宋_GB2312" w:eastAsia="仿宋_GB2312" w:cs="仿宋_GB2312"/>
          <w:b/>
          <w:bCs/>
          <w:sz w:val="31"/>
          <w:szCs w:val="31"/>
        </w:rPr>
        <w:t>政府信息公开平台建设。</w:t>
      </w:r>
      <w:r>
        <w:rPr>
          <w:rFonts w:hint="default" w:ascii="仿宋_GB2312" w:eastAsia="仿宋_GB2312" w:cs="仿宋_GB2312"/>
          <w:sz w:val="31"/>
          <w:szCs w:val="31"/>
        </w:rPr>
        <w:t>持续优化政府网站建设，</w:t>
      </w:r>
      <w:r>
        <w:rPr>
          <w:rFonts w:hint="eastAsia" w:ascii="Times New Roman" w:hAnsi="Times New Roman" w:eastAsia="仿宋_GB2312" w:cs="Times New Roman"/>
          <w:sz w:val="32"/>
          <w:szCs w:val="32"/>
          <w:lang w:eastAsia="zh-CN"/>
        </w:rPr>
        <w:t>对市政府门户网站政务公开专栏进行了页面改版，新建、重做、升级了包括“行政执法公示”“常务会议”等栏目在内的二十余个栏目。同时，规范了各部门文件发布格式，解决了栏目设置不合理、信息更新不及时、存在错误冗余信息等问题，使公开更加规范合理，有效提升了公开水平。</w:t>
      </w:r>
    </w:p>
    <w:p>
      <w:pPr>
        <w:keepNext w:val="0"/>
        <w:keepLines w:val="0"/>
        <w:pageBreakBefore w:val="0"/>
        <w:widowControl w:val="0"/>
        <w:kinsoku/>
        <w:wordWrap/>
        <w:overflowPunct/>
        <w:topLinePunct w:val="0"/>
        <w:autoSpaceDE/>
        <w:autoSpaceDN/>
        <w:bidi w:val="0"/>
        <w:adjustRightInd/>
        <w:snapToGrid/>
        <w:spacing w:line="360" w:lineRule="auto"/>
        <w:ind w:firstLine="622" w:firstLineChars="200"/>
        <w:textAlignment w:val="auto"/>
        <w:rPr>
          <w:rFonts w:hint="eastAsia" w:ascii="仿宋" w:hAnsi="仿宋" w:eastAsia="仿宋" w:cs="仿宋"/>
          <w:sz w:val="32"/>
          <w:szCs w:val="32"/>
          <w:lang w:val="en-US" w:eastAsia="zh-CN"/>
        </w:rPr>
      </w:pPr>
      <w:r>
        <w:rPr>
          <w:rFonts w:hint="default" w:ascii="仿宋_GB2312" w:eastAsia="仿宋_GB2312" w:cs="仿宋_GB2312"/>
          <w:b/>
          <w:bCs/>
          <w:sz w:val="31"/>
          <w:szCs w:val="31"/>
          <w:highlight w:val="none"/>
        </w:rPr>
        <w:t>（五）</w:t>
      </w:r>
      <w:r>
        <w:rPr>
          <w:rFonts w:hint="default" w:ascii="仿宋_GB2312" w:eastAsia="仿宋_GB2312" w:cs="仿宋_GB2312"/>
          <w:b/>
          <w:bCs/>
          <w:sz w:val="31"/>
          <w:szCs w:val="31"/>
        </w:rPr>
        <w:t>监督保障。</w:t>
      </w:r>
      <w:r>
        <w:rPr>
          <w:rFonts w:hint="eastAsia" w:ascii="仿宋_GB2312" w:eastAsia="仿宋_GB2312" w:cs="仿宋_GB2312"/>
          <w:sz w:val="31"/>
          <w:szCs w:val="31"/>
          <w:lang w:eastAsia="zh-CN"/>
        </w:rPr>
        <w:t>加强政务公开培训力度，</w:t>
      </w:r>
      <w:r>
        <w:rPr>
          <w:rFonts w:hint="default" w:ascii="仿宋_GB2312" w:eastAsia="仿宋_GB2312" w:cs="仿宋_GB2312"/>
          <w:sz w:val="31"/>
          <w:szCs w:val="31"/>
        </w:rPr>
        <w:t>全年举办大型培训会议</w:t>
      </w:r>
      <w:r>
        <w:rPr>
          <w:rFonts w:hint="eastAsia" w:ascii="仿宋_GB2312" w:eastAsia="仿宋_GB2312" w:cs="仿宋_GB2312"/>
          <w:sz w:val="31"/>
          <w:szCs w:val="31"/>
          <w:lang w:eastAsia="zh-CN"/>
        </w:rPr>
        <w:t>四</w:t>
      </w:r>
      <w:r>
        <w:rPr>
          <w:rFonts w:hint="default" w:ascii="仿宋_GB2312" w:eastAsia="仿宋_GB2312" w:cs="仿宋_GB2312"/>
          <w:sz w:val="31"/>
          <w:szCs w:val="31"/>
        </w:rPr>
        <w:t>次</w:t>
      </w:r>
      <w:r>
        <w:rPr>
          <w:rFonts w:hint="eastAsia" w:ascii="仿宋_GB2312" w:eastAsia="仿宋_GB2312" w:cs="仿宋_GB2312"/>
          <w:sz w:val="31"/>
          <w:szCs w:val="31"/>
          <w:lang w:eastAsia="zh-CN"/>
        </w:rPr>
        <w:t>。其中，</w:t>
      </w:r>
      <w:r>
        <w:rPr>
          <w:rFonts w:hint="eastAsia" w:ascii="仿宋" w:hAnsi="仿宋" w:eastAsia="仿宋" w:cs="仿宋"/>
          <w:sz w:val="32"/>
          <w:szCs w:val="32"/>
          <w:lang w:val="en-US" w:eastAsia="zh-CN"/>
        </w:rPr>
        <w:t>12月4日至5日，市政府办公室在市委党校举办了2023年全市政务公开工作专题培训班。各县（市、区）政府办公室、市属开发区管委会办公室主要负责同志、业务负责人，市政府工作部门分管负责同志、业务科长，市直有关公共企事业单位分管负责同志、业务负责人在主会场参加会议，各县（市、区）政府办公室、市属开发区管委会办公室设分会场，共1000余人参加培训，是全市政务公开领域规模最大、人数最多、时间最长、质效最佳的一次培训会。</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textAlignment w:val="auto"/>
        <w:rPr>
          <w:rFonts w:hint="default" w:ascii="黑体" w:hAnsi="宋体" w:eastAsia="黑体" w:cs="黑体"/>
          <w:sz w:val="31"/>
          <w:szCs w:val="31"/>
        </w:rPr>
      </w:pPr>
      <w:r>
        <w:rPr>
          <w:rFonts w:hint="default" w:ascii="黑体" w:hAnsi="宋体" w:eastAsia="黑体" w:cs="黑体"/>
          <w:sz w:val="31"/>
          <w:szCs w:val="31"/>
        </w:rPr>
        <w:t>二、主动公开政府信息情况</w:t>
      </w:r>
    </w:p>
    <w:tbl>
      <w:tblPr>
        <w:tblStyle w:val="6"/>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8"/>
        <w:gridCol w:w="2108"/>
        <w:gridCol w:w="2108"/>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8440"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信息内容</w:t>
            </w:r>
          </w:p>
        </w:tc>
        <w:tc>
          <w:tcPr>
            <w:tcW w:w="21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本年制发件数</w:t>
            </w:r>
          </w:p>
        </w:tc>
        <w:tc>
          <w:tcPr>
            <w:tcW w:w="21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本年废止件数</w:t>
            </w:r>
          </w:p>
        </w:tc>
        <w:tc>
          <w:tcPr>
            <w:tcW w:w="2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规章</w:t>
            </w:r>
          </w:p>
        </w:tc>
        <w:tc>
          <w:tcPr>
            <w:tcW w:w="21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w:t>
            </w:r>
          </w:p>
        </w:tc>
        <w:tc>
          <w:tcPr>
            <w:tcW w:w="21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w:t>
            </w:r>
          </w:p>
        </w:tc>
        <w:tc>
          <w:tcPr>
            <w:tcW w:w="2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行政规范性文件</w:t>
            </w:r>
          </w:p>
        </w:tc>
        <w:tc>
          <w:tcPr>
            <w:tcW w:w="21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w:t>
            </w:r>
          </w:p>
        </w:tc>
        <w:tc>
          <w:tcPr>
            <w:tcW w:w="21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w:t>
            </w:r>
          </w:p>
        </w:tc>
        <w:tc>
          <w:tcPr>
            <w:tcW w:w="2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8440" w:type="dxa"/>
            <w:gridSpan w:val="4"/>
            <w:tcBorders>
              <w:top w:val="nil"/>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信息内容</w:t>
            </w:r>
          </w:p>
        </w:tc>
        <w:tc>
          <w:tcPr>
            <w:tcW w:w="6332"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行政许可</w:t>
            </w:r>
          </w:p>
        </w:tc>
        <w:tc>
          <w:tcPr>
            <w:tcW w:w="633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8440" w:type="dxa"/>
            <w:gridSpan w:val="4"/>
            <w:tcBorders>
              <w:top w:val="nil"/>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信息内容</w:t>
            </w:r>
          </w:p>
        </w:tc>
        <w:tc>
          <w:tcPr>
            <w:tcW w:w="6332"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行政处罚</w:t>
            </w:r>
          </w:p>
        </w:tc>
        <w:tc>
          <w:tcPr>
            <w:tcW w:w="633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行政强制</w:t>
            </w:r>
          </w:p>
        </w:tc>
        <w:tc>
          <w:tcPr>
            <w:tcW w:w="633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8440" w:type="dxa"/>
            <w:gridSpan w:val="4"/>
            <w:tcBorders>
              <w:top w:val="nil"/>
              <w:left w:val="single" w:color="000000" w:sz="8" w:space="0"/>
              <w:bottom w:val="single" w:color="000000" w:sz="8" w:space="0"/>
              <w:right w:val="single" w:color="000000" w:sz="8" w:space="0"/>
            </w:tcBorders>
            <w:shd w:val="clear" w:color="auto" w:fill="C6D9F1"/>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信息内容</w:t>
            </w:r>
          </w:p>
        </w:tc>
        <w:tc>
          <w:tcPr>
            <w:tcW w:w="6332"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21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行政事业性收费</w:t>
            </w:r>
          </w:p>
        </w:tc>
        <w:tc>
          <w:tcPr>
            <w:tcW w:w="6332"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w:t>
            </w:r>
          </w:p>
        </w:tc>
      </w:tr>
    </w:tbl>
    <w:p>
      <w:pPr>
        <w:pStyle w:val="5"/>
        <w:keepNext w:val="0"/>
        <w:keepLines w:val="0"/>
        <w:widowControl/>
        <w:numPr>
          <w:ilvl w:val="0"/>
          <w:numId w:val="0"/>
        </w:numPr>
        <w:suppressLineNumbers w:val="0"/>
        <w:spacing w:before="75" w:beforeAutospacing="0" w:after="75" w:afterAutospacing="0"/>
        <w:ind w:leftChars="150" w:right="0" w:rightChars="0"/>
        <w:rPr>
          <w:rFonts w:hint="default" w:ascii="黑体" w:hAnsi="宋体" w:eastAsia="黑体" w:cs="黑体"/>
          <w:sz w:val="31"/>
          <w:szCs w:val="31"/>
        </w:rPr>
      </w:pPr>
    </w:p>
    <w:p>
      <w:pPr>
        <w:pStyle w:val="5"/>
        <w:keepNext w:val="0"/>
        <w:keepLines w:val="0"/>
        <w:widowControl/>
        <w:numPr>
          <w:ilvl w:val="0"/>
          <w:numId w:val="0"/>
        </w:numPr>
        <w:suppressLineNumbers w:val="0"/>
        <w:spacing w:before="75" w:beforeAutospacing="0" w:after="75" w:afterAutospacing="0"/>
        <w:ind w:leftChars="150" w:right="0" w:rightChars="0"/>
        <w:rPr>
          <w:rFonts w:hint="default" w:ascii="黑体" w:hAnsi="宋体" w:eastAsia="黑体" w:cs="黑体"/>
          <w:sz w:val="31"/>
          <w:szCs w:val="31"/>
        </w:rPr>
      </w:pPr>
    </w:p>
    <w:p>
      <w:pPr>
        <w:pStyle w:val="5"/>
        <w:keepNext w:val="0"/>
        <w:keepLines w:val="0"/>
        <w:widowControl/>
        <w:numPr>
          <w:ilvl w:val="0"/>
          <w:numId w:val="0"/>
        </w:numPr>
        <w:suppressLineNumbers w:val="0"/>
        <w:spacing w:before="75" w:beforeAutospacing="0" w:after="75" w:afterAutospacing="0"/>
        <w:ind w:leftChars="150" w:right="0" w:rightChars="0"/>
        <w:rPr>
          <w:rFonts w:hint="default" w:ascii="黑体" w:hAnsi="宋体" w:eastAsia="黑体" w:cs="黑体"/>
          <w:sz w:val="31"/>
          <w:szCs w:val="31"/>
        </w:rPr>
      </w:pPr>
    </w:p>
    <w:p>
      <w:pPr>
        <w:pStyle w:val="5"/>
        <w:keepNext w:val="0"/>
        <w:keepLines w:val="0"/>
        <w:widowControl/>
        <w:numPr>
          <w:ilvl w:val="0"/>
          <w:numId w:val="1"/>
        </w:numPr>
        <w:suppressLineNumbers w:val="0"/>
        <w:spacing w:before="75" w:beforeAutospacing="0" w:after="75" w:afterAutospacing="0"/>
        <w:ind w:right="0" w:firstLine="465" w:firstLineChars="150"/>
        <w:rPr>
          <w:rFonts w:hint="default" w:ascii="黑体" w:hAnsi="宋体" w:eastAsia="黑体" w:cs="黑体"/>
          <w:sz w:val="31"/>
          <w:szCs w:val="31"/>
        </w:rPr>
      </w:pPr>
      <w:r>
        <w:rPr>
          <w:rFonts w:hint="default" w:ascii="黑体" w:hAnsi="宋体" w:eastAsia="黑体" w:cs="黑体"/>
          <w:sz w:val="31"/>
          <w:szCs w:val="31"/>
        </w:rPr>
        <w:t>收到和处理政府信息公开申请情况</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1057"/>
        <w:gridCol w:w="2426"/>
        <w:gridCol w:w="531"/>
        <w:gridCol w:w="584"/>
        <w:gridCol w:w="584"/>
        <w:gridCol w:w="689"/>
        <w:gridCol w:w="689"/>
        <w:gridCol w:w="479"/>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（本列数据的勾稽关系：第一项加第二项这和，等于第三项加第四项只和）</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3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3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法人或其他组织</w:t>
            </w: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自然人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商业企业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科研机构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社会公益组织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法律服务机构</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其他</w:t>
            </w: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一、本年新收政府信息公开申请数量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一、上年结转政府信息公开申请数量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（一）予以公开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（二）部分公开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（三）不予公开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1.属于国家机密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2.其他法律行政法规禁止公开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3.危及“三安全一稳定”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4.保护第三方合法权益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5.属于三类内部事务信息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6.属于四类过程性信息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7.属于行政执法案卷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8.属于行政查询事项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（四）无法提供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1.本机关不掌握相关政府信息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2.没有现成信息需要另行制作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3.补正后申请内容仍不明确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（五）不予处理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1.信访举报投诉类申请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2.重复申请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3.要求提供公开出版物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4.无正当理由大量反复申请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5.要求行政机关确认或重新出具已获取信息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（六）其他处理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1.申请人无正当理由逾期不不不补正、行政机关不再处理其政府信息公开申请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2.申请人预期未按收费通知要求缴纳费用、行政机关不再处理其政府信息公开申请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三、本年度办理结果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（七）总计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四、结转下年度继续办理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0</w:t>
            </w:r>
          </w:p>
        </w:tc>
      </w:tr>
    </w:tbl>
    <w:p>
      <w:pPr>
        <w:pStyle w:val="5"/>
        <w:keepNext w:val="0"/>
        <w:keepLines w:val="0"/>
        <w:widowControl/>
        <w:numPr>
          <w:ilvl w:val="0"/>
          <w:numId w:val="1"/>
        </w:numPr>
        <w:suppressLineNumbers w:val="0"/>
        <w:spacing w:before="75" w:beforeAutospacing="0" w:after="75" w:afterAutospacing="0" w:line="645" w:lineRule="atLeast"/>
        <w:ind w:left="0" w:leftChars="0" w:right="0" w:firstLine="465" w:firstLineChars="150"/>
        <w:rPr>
          <w:rFonts w:hint="default" w:ascii="黑体" w:hAnsi="宋体" w:eastAsia="黑体" w:cs="黑体"/>
          <w:sz w:val="31"/>
          <w:szCs w:val="31"/>
        </w:rPr>
      </w:pPr>
      <w:r>
        <w:rPr>
          <w:rFonts w:hint="default" w:ascii="黑体" w:hAnsi="宋体" w:eastAsia="黑体" w:cs="黑体"/>
          <w:sz w:val="31"/>
          <w:szCs w:val="31"/>
        </w:rPr>
        <w:t>政府信息公开行政复议、行政诉讼情况</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678"/>
        <w:gridCol w:w="652"/>
        <w:gridCol w:w="501"/>
        <w:gridCol w:w="426"/>
        <w:gridCol w:w="678"/>
        <w:gridCol w:w="678"/>
        <w:gridCol w:w="510"/>
        <w:gridCol w:w="510"/>
        <w:gridCol w:w="510"/>
        <w:gridCol w:w="678"/>
        <w:gridCol w:w="501"/>
        <w:gridCol w:w="501"/>
        <w:gridCol w:w="678"/>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gridSpan w:val="5"/>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行政复议</w:t>
            </w:r>
          </w:p>
        </w:tc>
        <w:tc>
          <w:tcPr>
            <w:tcW w:w="0" w:type="auto"/>
            <w:gridSpan w:val="10"/>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结果</w:t>
            </w:r>
          </w:p>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维持</w:t>
            </w:r>
          </w:p>
        </w:tc>
        <w:tc>
          <w:tcPr>
            <w:tcW w:w="0" w:type="auto"/>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结果纠正</w:t>
            </w:r>
          </w:p>
        </w:tc>
        <w:tc>
          <w:tcPr>
            <w:tcW w:w="653"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其他结果</w:t>
            </w:r>
          </w:p>
        </w:tc>
        <w:tc>
          <w:tcPr>
            <w:tcW w:w="502"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尚未</w:t>
            </w:r>
          </w:p>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审结</w:t>
            </w:r>
          </w:p>
        </w:tc>
        <w:tc>
          <w:tcPr>
            <w:tcW w:w="0" w:type="auto"/>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总</w:t>
            </w:r>
          </w:p>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计</w:t>
            </w:r>
          </w:p>
        </w:tc>
        <w:tc>
          <w:tcPr>
            <w:tcW w:w="0" w:type="auto"/>
            <w:gridSpan w:val="5"/>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未经复议直接起诉</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0" w:type="auto"/>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p>
        </w:tc>
        <w:tc>
          <w:tcPr>
            <w:tcW w:w="0" w:type="auto"/>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黑体" w:hAnsi="宋体" w:eastAsia="黑体" w:cs="黑体"/>
                <w:i w:val="0"/>
                <w:color w:val="000000"/>
                <w:sz w:val="21"/>
                <w:szCs w:val="21"/>
                <w:u w:val="none"/>
              </w:rPr>
            </w:pPr>
          </w:p>
        </w:tc>
        <w:tc>
          <w:tcPr>
            <w:tcW w:w="653"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黑体" w:hAnsi="宋体" w:eastAsia="黑体" w:cs="黑体"/>
                <w:i w:val="0"/>
                <w:color w:val="000000"/>
                <w:sz w:val="21"/>
                <w:szCs w:val="21"/>
                <w:u w:val="none"/>
              </w:rPr>
            </w:pPr>
          </w:p>
        </w:tc>
        <w:tc>
          <w:tcPr>
            <w:tcW w:w="502" w:type="dxa"/>
            <w:vMerge w:val="continue"/>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p>
        </w:tc>
        <w:tc>
          <w:tcPr>
            <w:tcW w:w="0" w:type="auto"/>
            <w:vMerge w:val="continue"/>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结果维持</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结果纠正</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其他</w:t>
            </w:r>
          </w:p>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结果</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尚未</w:t>
            </w:r>
          </w:p>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审结</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总计</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结果维持</w:t>
            </w:r>
          </w:p>
        </w:tc>
        <w:tc>
          <w:tcPr>
            <w:tcW w:w="502"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结果</w:t>
            </w:r>
          </w:p>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纠正</w:t>
            </w:r>
          </w:p>
        </w:tc>
        <w:tc>
          <w:tcPr>
            <w:tcW w:w="502"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其他</w:t>
            </w:r>
          </w:p>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结果</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尚未审结</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rPr>
            </w:pPr>
            <w:r>
              <w:rPr>
                <w:rFonts w:hint="default" w:ascii="黑体" w:hAnsi="宋体" w:eastAsia="黑体" w:cs="黑体"/>
                <w:i w:val="0"/>
                <w:color w:val="000000"/>
                <w:kern w:val="0"/>
                <w:sz w:val="21"/>
                <w:szCs w:val="21"/>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653"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502"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0</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0</w:t>
            </w: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p>
        </w:tc>
        <w:tc>
          <w:tcPr>
            <w:tcW w:w="502"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502"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0</w:t>
            </w:r>
          </w:p>
        </w:tc>
      </w:tr>
    </w:tbl>
    <w:p>
      <w:pPr>
        <w:pStyle w:val="5"/>
        <w:keepNext w:val="0"/>
        <w:keepLines w:val="0"/>
        <w:widowControl/>
        <w:suppressLineNumbers w:val="0"/>
        <w:spacing w:before="75" w:beforeAutospacing="0" w:after="75" w:afterAutospacing="0"/>
        <w:ind w:right="0" w:firstLine="620" w:firstLineChars="200"/>
      </w:pPr>
      <w:r>
        <w:rPr>
          <w:rFonts w:hint="default" w:ascii="黑体" w:hAnsi="宋体" w:eastAsia="黑体" w:cs="黑体"/>
          <w:sz w:val="31"/>
          <w:szCs w:val="31"/>
        </w:rPr>
        <w:t>五、存在的主要问题及改进情况</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2023年度，聊城市人民政府办公室政府</w:t>
      </w:r>
      <w:r>
        <w:rPr>
          <w:rFonts w:hint="default" w:ascii="仿宋" w:hAnsi="仿宋" w:eastAsia="仿宋" w:cs="仿宋"/>
          <w:sz w:val="32"/>
          <w:szCs w:val="32"/>
          <w:lang w:val="en-US" w:eastAsia="zh-CN"/>
        </w:rPr>
        <w:t>信息公开工作</w:t>
      </w:r>
      <w:r>
        <w:rPr>
          <w:rFonts w:hint="eastAsia" w:ascii="仿宋" w:hAnsi="仿宋" w:eastAsia="仿宋" w:cs="仿宋"/>
          <w:sz w:val="32"/>
          <w:szCs w:val="32"/>
          <w:lang w:val="en-US" w:eastAsia="zh-CN"/>
        </w:rPr>
        <w:t>还</w:t>
      </w:r>
      <w:r>
        <w:rPr>
          <w:rFonts w:hint="default" w:ascii="仿宋" w:hAnsi="仿宋" w:eastAsia="仿宋" w:cs="仿宋"/>
          <w:sz w:val="32"/>
          <w:szCs w:val="32"/>
          <w:lang w:val="en-US" w:eastAsia="zh-CN"/>
        </w:rPr>
        <w:t>存在一些不足，主要是政府网站和政务新媒体运维监管仍需强化，重点领域信息主动公开仍需深化，政务公开工作队伍稳定性和专业性仍需加强。</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下一步，</w:t>
      </w:r>
      <w:r>
        <w:rPr>
          <w:rFonts w:hint="eastAsia" w:ascii="仿宋" w:hAnsi="仿宋" w:eastAsia="仿宋" w:cs="仿宋"/>
          <w:sz w:val="32"/>
          <w:szCs w:val="32"/>
          <w:lang w:val="en-US" w:eastAsia="zh-CN"/>
        </w:rPr>
        <w:t>市政府办公室</w:t>
      </w:r>
      <w:r>
        <w:rPr>
          <w:rFonts w:hint="default" w:ascii="仿宋" w:hAnsi="仿宋" w:eastAsia="仿宋" w:cs="仿宋"/>
          <w:sz w:val="32"/>
          <w:szCs w:val="32"/>
          <w:lang w:val="en-US" w:eastAsia="zh-CN"/>
        </w:rPr>
        <w:t>将进一步深化政府信息公开工作。一是加大主动公开力度。根据企业和群众的信息需求，继续</w:t>
      </w:r>
      <w:r>
        <w:rPr>
          <w:rFonts w:hint="eastAsia" w:ascii="仿宋" w:hAnsi="仿宋" w:eastAsia="仿宋" w:cs="仿宋"/>
          <w:sz w:val="32"/>
          <w:szCs w:val="32"/>
          <w:lang w:val="en-US" w:eastAsia="zh-CN"/>
        </w:rPr>
        <w:t>督促指导有关部门</w:t>
      </w:r>
      <w:r>
        <w:rPr>
          <w:rFonts w:hint="default" w:ascii="仿宋" w:hAnsi="仿宋" w:eastAsia="仿宋" w:cs="仿宋"/>
          <w:sz w:val="32"/>
          <w:szCs w:val="32"/>
          <w:lang w:val="en-US" w:eastAsia="zh-CN"/>
        </w:rPr>
        <w:t>及时主动公开政府信息，推进重点领域信息公开，不断增强政府公信力和执行力。二是加强政府网站和政务新媒体管理。持续做好全市政府网站和政务新媒体运行情况的季度检查和月度监测，对功能相近、用户关注度和利用率低的账号及时清理注销。三是加强政务公开工作队伍建设。完善政务公开工作指南，健全“传帮带”机制，增强工作人员主动学习意识，加强对新人的培训力度，全面提升政务公开工作队伍能力和水平。</w:t>
      </w:r>
    </w:p>
    <w:p>
      <w:pPr>
        <w:pStyle w:val="5"/>
        <w:keepNext w:val="0"/>
        <w:keepLines w:val="0"/>
        <w:widowControl/>
        <w:suppressLineNumbers w:val="0"/>
        <w:spacing w:before="75" w:beforeAutospacing="0" w:after="75" w:afterAutospacing="0" w:line="645" w:lineRule="atLeast"/>
        <w:ind w:left="0" w:right="0" w:firstLine="645"/>
      </w:pPr>
      <w:r>
        <w:rPr>
          <w:rFonts w:hint="default" w:ascii="黑体" w:hAnsi="宋体" w:eastAsia="黑体" w:cs="黑体"/>
          <w:sz w:val="31"/>
          <w:szCs w:val="31"/>
        </w:rPr>
        <w:t>六、其他需要报告的事项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firstLine="645"/>
        <w:textAlignment w:val="auto"/>
        <w:rPr>
          <w:rFonts w:ascii="仿宋_GB2312" w:eastAsia="仿宋_GB2312" w:cs="仿宋_GB2312"/>
          <w:b/>
          <w:bCs/>
          <w:sz w:val="31"/>
          <w:szCs w:val="31"/>
        </w:rPr>
      </w:pPr>
      <w:r>
        <w:rPr>
          <w:rFonts w:hint="eastAsia" w:ascii="仿宋_GB2312" w:eastAsia="仿宋_GB2312" w:cs="仿宋_GB2312"/>
          <w:b/>
          <w:bCs/>
          <w:sz w:val="31"/>
          <w:szCs w:val="31"/>
          <w:lang w:eastAsia="zh-CN"/>
        </w:rPr>
        <w:t>（一）</w:t>
      </w:r>
      <w:r>
        <w:rPr>
          <w:rFonts w:ascii="仿宋_GB2312" w:eastAsia="仿宋_GB2312" w:cs="仿宋_GB2312"/>
          <w:b/>
          <w:bCs/>
          <w:sz w:val="31"/>
          <w:szCs w:val="31"/>
        </w:rPr>
        <w:t>落实上级年度政务公开工作要点情况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一是制定落实方案，</w:t>
      </w:r>
      <w:r>
        <w:rPr>
          <w:rFonts w:hint="default" w:ascii="仿宋" w:hAnsi="仿宋" w:eastAsia="仿宋" w:cs="仿宋"/>
          <w:sz w:val="32"/>
          <w:szCs w:val="32"/>
          <w:lang w:val="en-US" w:eastAsia="zh-CN"/>
        </w:rPr>
        <w:t>按照《山东省人民政府办公厅关于印发</w:t>
      </w:r>
      <w:r>
        <w:rPr>
          <w:rFonts w:hint="eastAsia" w:ascii="仿宋" w:hAnsi="仿宋" w:eastAsia="仿宋" w:cs="仿宋"/>
          <w:sz w:val="32"/>
          <w:szCs w:val="32"/>
          <w:lang w:val="en-US" w:eastAsia="zh-CN"/>
        </w:rPr>
        <w:t>2022年山东省政务公开工作要点的通知》（鲁政办发〔2022〕5号），聊城市人民政府办公室起草发布了《聊城市2023年政务公开工作要点》（聊政办发〔2023〕9号），并以分工台账的形式，围绕2023年全省政务公开重点工作逐项规定落实的责任单位和完成时限。二是持续开展专项督查，推动年度政务公开重点工作任务落实到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firstLine="645"/>
        <w:textAlignment w:val="auto"/>
        <w:rPr>
          <w:rFonts w:ascii="仿宋_GB2312" w:eastAsia="仿宋_GB2312" w:cs="仿宋_GB2312"/>
          <w:b/>
          <w:bCs/>
          <w:sz w:val="31"/>
          <w:szCs w:val="31"/>
        </w:rPr>
      </w:pPr>
      <w:r>
        <w:rPr>
          <w:rFonts w:ascii="仿宋_GB2312" w:eastAsia="仿宋_GB2312" w:cs="仿宋_GB2312"/>
          <w:b/>
          <w:bCs/>
          <w:sz w:val="31"/>
          <w:szCs w:val="31"/>
        </w:rPr>
        <w:t>（</w:t>
      </w:r>
      <w:r>
        <w:rPr>
          <w:rFonts w:hint="eastAsia" w:ascii="仿宋_GB2312" w:eastAsia="仿宋_GB2312" w:cs="仿宋_GB2312"/>
          <w:b/>
          <w:bCs/>
          <w:sz w:val="31"/>
          <w:szCs w:val="31"/>
          <w:lang w:eastAsia="zh-CN"/>
        </w:rPr>
        <w:t>二</w:t>
      </w:r>
      <w:r>
        <w:rPr>
          <w:rFonts w:ascii="仿宋_GB2312" w:eastAsia="仿宋_GB2312" w:cs="仿宋_GB2312"/>
          <w:b/>
          <w:bCs/>
          <w:sz w:val="31"/>
          <w:szCs w:val="31"/>
        </w:rPr>
        <w:t>）人大代表建议和政协提案办理结果公开情况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2023年，聊城市人民政府办公室共办理人大代表建议1件，目前已办结，代表表示满意。2023年未办理政协提案。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firstLine="645"/>
        <w:textAlignment w:val="auto"/>
      </w:pPr>
      <w:r>
        <w:rPr>
          <w:rFonts w:hint="default" w:ascii="仿宋_GB2312" w:eastAsia="仿宋_GB2312" w:cs="仿宋_GB2312"/>
          <w:b/>
          <w:bCs/>
          <w:sz w:val="31"/>
          <w:szCs w:val="31"/>
        </w:rPr>
        <w:t>（</w:t>
      </w:r>
      <w:r>
        <w:rPr>
          <w:rFonts w:hint="eastAsia" w:ascii="仿宋_GB2312" w:eastAsia="仿宋_GB2312" w:cs="仿宋_GB2312"/>
          <w:b/>
          <w:bCs/>
          <w:sz w:val="31"/>
          <w:szCs w:val="31"/>
          <w:lang w:eastAsia="zh-CN"/>
        </w:rPr>
        <w:t>三</w:t>
      </w:r>
      <w:r>
        <w:rPr>
          <w:rFonts w:hint="default" w:ascii="仿宋_GB2312" w:eastAsia="仿宋_GB2312" w:cs="仿宋_GB2312"/>
          <w:b/>
          <w:bCs/>
          <w:sz w:val="31"/>
          <w:szCs w:val="31"/>
        </w:rPr>
        <w:t>）收取政府信息公开信息处理费情况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firstLine="645"/>
        <w:textAlignment w:val="auto"/>
      </w:pPr>
      <w:r>
        <w:rPr>
          <w:rFonts w:hint="default" w:ascii="仿宋_GB2312" w:eastAsia="仿宋_GB2312" w:cs="仿宋_GB2312"/>
          <w:sz w:val="31"/>
          <w:szCs w:val="31"/>
        </w:rPr>
        <w:t>202</w:t>
      </w:r>
      <w:r>
        <w:rPr>
          <w:rFonts w:hint="eastAsia" w:ascii="仿宋_GB2312" w:eastAsia="仿宋_GB2312" w:cs="仿宋_GB2312"/>
          <w:sz w:val="31"/>
          <w:szCs w:val="31"/>
          <w:lang w:val="en-US" w:eastAsia="zh-CN"/>
        </w:rPr>
        <w:t>3</w:t>
      </w:r>
      <w:r>
        <w:rPr>
          <w:rFonts w:hint="default" w:ascii="仿宋_GB2312" w:eastAsia="仿宋_GB2312" w:cs="仿宋_GB2312"/>
          <w:sz w:val="31"/>
          <w:szCs w:val="31"/>
        </w:rPr>
        <w:t>年，聊城市人民政府</w:t>
      </w:r>
      <w:r>
        <w:rPr>
          <w:rFonts w:hint="eastAsia" w:ascii="仿宋_GB2312" w:eastAsia="仿宋_GB2312" w:cs="仿宋_GB2312"/>
          <w:sz w:val="31"/>
          <w:szCs w:val="31"/>
          <w:lang w:eastAsia="zh-CN"/>
        </w:rPr>
        <w:t>办公室</w:t>
      </w:r>
      <w:r>
        <w:rPr>
          <w:rFonts w:hint="default" w:ascii="仿宋_GB2312" w:eastAsia="仿宋_GB2312" w:cs="仿宋_GB2312"/>
          <w:sz w:val="31"/>
          <w:szCs w:val="31"/>
        </w:rPr>
        <w:t>未收取政府信息</w:t>
      </w:r>
      <w:r>
        <w:rPr>
          <w:rFonts w:hint="eastAsia" w:ascii="仿宋_GB2312" w:eastAsia="仿宋_GB2312" w:cs="仿宋_GB2312"/>
          <w:sz w:val="31"/>
          <w:szCs w:val="31"/>
          <w:lang w:eastAsia="zh-CN"/>
        </w:rPr>
        <w:t>依申请</w:t>
      </w:r>
      <w:r>
        <w:rPr>
          <w:rFonts w:hint="default" w:ascii="仿宋_GB2312" w:eastAsia="仿宋_GB2312" w:cs="仿宋_GB2312"/>
          <w:sz w:val="31"/>
          <w:szCs w:val="31"/>
        </w:rPr>
        <w:t>公开信息处理费。</w:t>
      </w:r>
    </w:p>
    <w:p>
      <w:pPr>
        <w:keepNext w:val="0"/>
        <w:keepLines w:val="0"/>
        <w:pageBreakBefore w:val="0"/>
        <w:kinsoku/>
        <w:wordWrap/>
        <w:overflowPunct/>
        <w:topLinePunct w:val="0"/>
        <w:autoSpaceDE/>
        <w:autoSpaceDN/>
        <w:bidi w:val="0"/>
        <w:adjustRightInd/>
        <w:snapToGrid/>
        <w:spacing w:beforeAutospacing="0" w:afterAutospacing="0" w:line="64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FA91F"/>
    <w:multiLevelType w:val="singleLevel"/>
    <w:tmpl w:val="D37FA9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YzZlZWVhZDA2MzhlOGI4ODI3MWNkOWFjMDE0ODcifQ=="/>
  </w:docVars>
  <w:rsids>
    <w:rsidRoot w:val="00000000"/>
    <w:rsid w:val="031F2FB8"/>
    <w:rsid w:val="04A67ABB"/>
    <w:rsid w:val="13A768E9"/>
    <w:rsid w:val="162B20DB"/>
    <w:rsid w:val="1957368D"/>
    <w:rsid w:val="1D041381"/>
    <w:rsid w:val="3E635992"/>
    <w:rsid w:val="3EAB0813"/>
    <w:rsid w:val="43853221"/>
    <w:rsid w:val="443D2C32"/>
    <w:rsid w:val="53F24649"/>
    <w:rsid w:val="54B07E02"/>
    <w:rsid w:val="58366FDA"/>
    <w:rsid w:val="5B690207"/>
    <w:rsid w:val="5C7823A2"/>
    <w:rsid w:val="60045959"/>
    <w:rsid w:val="64087FBB"/>
    <w:rsid w:val="65F9BB20"/>
    <w:rsid w:val="6F4252B0"/>
    <w:rsid w:val="6F44470E"/>
    <w:rsid w:val="748F1A8A"/>
    <w:rsid w:val="74E7192A"/>
    <w:rsid w:val="74FB6AF5"/>
    <w:rsid w:val="75D4BD30"/>
    <w:rsid w:val="767FC8C5"/>
    <w:rsid w:val="77F3640A"/>
    <w:rsid w:val="7F5FCA22"/>
    <w:rsid w:val="7FDF95B5"/>
    <w:rsid w:val="AEF7E5AE"/>
    <w:rsid w:val="CE77E0B9"/>
    <w:rsid w:val="D7B2EB18"/>
    <w:rsid w:val="F5F5C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_正文"/>
    <w:basedOn w:val="1"/>
    <w:autoRedefine/>
    <w:qFormat/>
    <w:uiPriority w:val="99"/>
    <w:pPr>
      <w:ind w:firstLine="200" w:firstLineChars="200"/>
      <w:jc w:val="left"/>
    </w:pPr>
    <w:rPr>
      <w:sz w:val="28"/>
      <w:szCs w:val="28"/>
    </w:rPr>
  </w:style>
  <w:style w:type="paragraph" w:styleId="4">
    <w:name w:val="toc 1"/>
    <w:next w:val="1"/>
    <w:autoRedefine/>
    <w:qFormat/>
    <w:uiPriority w:val="0"/>
    <w:pPr>
      <w:widowControl w:val="0"/>
      <w:snapToGrid w:val="0"/>
      <w:spacing w:line="640" w:lineRule="exact"/>
      <w:ind w:firstLine="705"/>
      <w:jc w:val="both"/>
    </w:pPr>
    <w:rPr>
      <w:rFonts w:ascii="仿宋_GB2312" w:hAnsi="Times New Roman" w:eastAsia="仿宋_GB2312" w:cs="Times New Roman"/>
      <w:color w:val="000000"/>
      <w:kern w:val="2"/>
      <w:sz w:val="36"/>
      <w:szCs w:val="36"/>
      <w:lang w:val="en-US" w:eastAsia="zh-CN" w:bidi="ar-SA"/>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3285</Words>
  <Characters>3535</Characters>
  <Lines>0</Lines>
  <Paragraphs>0</Paragraphs>
  <TotalTime>27</TotalTime>
  <ScaleCrop>false</ScaleCrop>
  <LinksUpToDate>false</LinksUpToDate>
  <CharactersWithSpaces>3536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蓟壕旨掠俨</cp:lastModifiedBy>
  <dcterms:modified xsi:type="dcterms:W3CDTF">2024-01-29T06:56:06Z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B62035DC8A89498B98E4F6B096226C67_13</vt:lpwstr>
  </property>
</Properties>
</file>