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420" w:lineRule="auto"/>
        <w:jc w:val="center"/>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rPr>
        <w:t>聊城市人民政府</w:t>
      </w:r>
    </w:p>
    <w:p>
      <w:pPr>
        <w:keepNext w:val="0"/>
        <w:keepLines w:val="0"/>
        <w:pageBreakBefore w:val="0"/>
        <w:widowControl w:val="0"/>
        <w:kinsoku/>
        <w:wordWrap/>
        <w:overflowPunct/>
        <w:topLinePunct w:val="0"/>
        <w:autoSpaceDE/>
        <w:autoSpaceDN/>
        <w:bidi w:val="0"/>
        <w:adjustRightInd/>
        <w:snapToGrid/>
        <w:spacing w:line="420" w:lineRule="auto"/>
        <w:jc w:val="center"/>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rPr>
        <w:t>关于将部分县级行政权力事项赋予</w:t>
      </w:r>
    </w:p>
    <w:p>
      <w:pPr>
        <w:keepNext w:val="0"/>
        <w:keepLines w:val="0"/>
        <w:pageBreakBefore w:val="0"/>
        <w:widowControl w:val="0"/>
        <w:kinsoku/>
        <w:wordWrap/>
        <w:overflowPunct/>
        <w:topLinePunct w:val="0"/>
        <w:autoSpaceDE/>
        <w:autoSpaceDN/>
        <w:bidi w:val="0"/>
        <w:adjustRightInd/>
        <w:snapToGrid/>
        <w:spacing w:line="420" w:lineRule="auto"/>
        <w:jc w:val="center"/>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rPr>
        <w:t>聊城经济技术开发区管委会和聊城高新技术</w:t>
      </w:r>
    </w:p>
    <w:p>
      <w:pPr>
        <w:keepNext w:val="0"/>
        <w:keepLines w:val="0"/>
        <w:pageBreakBefore w:val="0"/>
        <w:widowControl w:val="0"/>
        <w:kinsoku/>
        <w:wordWrap/>
        <w:overflowPunct/>
        <w:topLinePunct w:val="0"/>
        <w:autoSpaceDE/>
        <w:autoSpaceDN/>
        <w:bidi w:val="0"/>
        <w:adjustRightInd/>
        <w:snapToGrid/>
        <w:spacing w:line="420" w:lineRule="auto"/>
        <w:jc w:val="center"/>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rPr>
        <w:t>产业开发区管委会实施的通知</w:t>
      </w:r>
    </w:p>
    <w:p>
      <w:pPr>
        <w:keepNext w:val="0"/>
        <w:keepLines w:val="0"/>
        <w:pageBreakBefore w:val="0"/>
        <w:widowControl w:val="0"/>
        <w:kinsoku/>
        <w:wordWrap/>
        <w:overflowPunct/>
        <w:topLinePunct w:val="0"/>
        <w:autoSpaceDE/>
        <w:autoSpaceDN/>
        <w:bidi w:val="0"/>
        <w:adjustRightInd/>
        <w:snapToGrid/>
        <w:spacing w:line="420" w:lineRule="auto"/>
        <w:textAlignment w:val="auto"/>
        <w:rPr>
          <w:rFonts w:hint="eastAsia" w:ascii="微软雅黑" w:hAnsi="微软雅黑" w:eastAsia="微软雅黑" w:cs="微软雅黑"/>
          <w:sz w:val="24"/>
          <w:szCs w:val="24"/>
        </w:rPr>
      </w:pPr>
    </w:p>
    <w:p>
      <w:pPr>
        <w:keepNext w:val="0"/>
        <w:keepLines w:val="0"/>
        <w:pageBreakBefore w:val="0"/>
        <w:widowControl w:val="0"/>
        <w:kinsoku/>
        <w:wordWrap/>
        <w:overflowPunct/>
        <w:topLinePunct w:val="0"/>
        <w:autoSpaceDE/>
        <w:autoSpaceDN/>
        <w:bidi w:val="0"/>
        <w:adjustRightInd/>
        <w:snapToGrid/>
        <w:spacing w:line="420" w:lineRule="auto"/>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rPr>
        <w:t>各县（市、区）人民政府，市属开发区管委会，市政府有关部门、直属机构：</w:t>
      </w:r>
    </w:p>
    <w:p>
      <w:pPr>
        <w:keepNext w:val="0"/>
        <w:keepLines w:val="0"/>
        <w:pageBreakBefore w:val="0"/>
        <w:widowControl w:val="0"/>
        <w:kinsoku/>
        <w:wordWrap/>
        <w:overflowPunct/>
        <w:topLinePunct w:val="0"/>
        <w:autoSpaceDE/>
        <w:autoSpaceDN/>
        <w:bidi w:val="0"/>
        <w:adjustRightInd/>
        <w:snapToGrid/>
        <w:spacing w:line="420" w:lineRule="auto"/>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rPr>
        <w:t>　　为推进扩权强区改革工作，助力开发区高质量发展，根据《山东省经济开发区条例》《中共山东省委机构编制委员会办公室关于动态调整开发区权责清单和健全完善职责边界清单的通知》（鲁编办〔2022〕108号）要求，经研究，决定赋予聊城经济技术开发区（以下简称“开发区”）管委会、聊城高新技术产业开发区（以下简称“高新区”）管委会部分县级行政权力事项。现将有关事项通知如下。</w:t>
      </w:r>
    </w:p>
    <w:p>
      <w:pPr>
        <w:keepNext w:val="0"/>
        <w:keepLines w:val="0"/>
        <w:pageBreakBefore w:val="0"/>
        <w:widowControl w:val="0"/>
        <w:kinsoku/>
        <w:wordWrap/>
        <w:overflowPunct/>
        <w:topLinePunct w:val="0"/>
        <w:autoSpaceDE/>
        <w:autoSpaceDN/>
        <w:bidi w:val="0"/>
        <w:adjustRightInd/>
        <w:snapToGrid/>
        <w:spacing w:line="420" w:lineRule="auto"/>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rPr>
        <w:t>　　一、赋权范围</w:t>
      </w:r>
    </w:p>
    <w:p>
      <w:pPr>
        <w:keepNext w:val="0"/>
        <w:keepLines w:val="0"/>
        <w:pageBreakBefore w:val="0"/>
        <w:widowControl w:val="0"/>
        <w:kinsoku/>
        <w:wordWrap/>
        <w:overflowPunct/>
        <w:topLinePunct w:val="0"/>
        <w:autoSpaceDE/>
        <w:autoSpaceDN/>
        <w:bidi w:val="0"/>
        <w:adjustRightInd/>
        <w:snapToGrid/>
        <w:spacing w:line="420" w:lineRule="auto"/>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rPr>
        <w:t>　　将教育体育、卫生健康（不含疾病预防控制）领域21项县级行政权力事项赋予开发区管委会、高新区管委会实施。</w:t>
      </w:r>
    </w:p>
    <w:p>
      <w:pPr>
        <w:keepNext w:val="0"/>
        <w:keepLines w:val="0"/>
        <w:pageBreakBefore w:val="0"/>
        <w:widowControl w:val="0"/>
        <w:kinsoku/>
        <w:wordWrap/>
        <w:overflowPunct/>
        <w:topLinePunct w:val="0"/>
        <w:autoSpaceDE/>
        <w:autoSpaceDN/>
        <w:bidi w:val="0"/>
        <w:adjustRightInd/>
        <w:snapToGrid/>
        <w:spacing w:line="420" w:lineRule="auto"/>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rPr>
        <w:t>　　二、赋权承接</w:t>
      </w:r>
    </w:p>
    <w:p>
      <w:pPr>
        <w:keepNext w:val="0"/>
        <w:keepLines w:val="0"/>
        <w:pageBreakBefore w:val="0"/>
        <w:widowControl w:val="0"/>
        <w:kinsoku/>
        <w:wordWrap/>
        <w:overflowPunct/>
        <w:topLinePunct w:val="0"/>
        <w:autoSpaceDE/>
        <w:autoSpaceDN/>
        <w:bidi w:val="0"/>
        <w:adjustRightInd/>
        <w:snapToGrid/>
        <w:spacing w:line="420" w:lineRule="auto"/>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rPr>
        <w:t>　　（一）确保赋权稳妥有序。市教育体育局、市卫生健康委、市公安局、市交通运输局、市行政审批局要积极配合，明确专人负责事项赋权、工作移交、业务对接、技术指导、业务培训等重点工作，做到无缝衔接，保证审批服务工作连续性和稳定性。</w:t>
      </w:r>
    </w:p>
    <w:p>
      <w:pPr>
        <w:keepNext w:val="0"/>
        <w:keepLines w:val="0"/>
        <w:pageBreakBefore w:val="0"/>
        <w:widowControl w:val="0"/>
        <w:kinsoku/>
        <w:wordWrap/>
        <w:overflowPunct/>
        <w:topLinePunct w:val="0"/>
        <w:autoSpaceDE/>
        <w:autoSpaceDN/>
        <w:bidi w:val="0"/>
        <w:adjustRightInd/>
        <w:snapToGrid/>
        <w:spacing w:line="420" w:lineRule="auto"/>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rPr>
        <w:t>　　（二）保障赋权承接落实。在赋权事项交接过渡期，市教育体育局、市卫生健康委、市公安局、市交通运输局、市行政审批局要正常履职，做好审批服务工作，防止出现工作脱节和管理真空现象。对市直相关部门已正式受理的事项，仍按原渠道办理。对交接后发现存在历史遗留问题的，由原实施机关出具明确意见，开发区管委会、高新区管委会根据意见依法依规办理。事项划转后，开发区管委会、高新区管委会和原业务办理部门应根据工作需要，逐项明确是否移交相关档案资料。</w:t>
      </w:r>
    </w:p>
    <w:p>
      <w:pPr>
        <w:keepNext w:val="0"/>
        <w:keepLines w:val="0"/>
        <w:pageBreakBefore w:val="0"/>
        <w:widowControl w:val="0"/>
        <w:kinsoku/>
        <w:wordWrap/>
        <w:overflowPunct/>
        <w:topLinePunct w:val="0"/>
        <w:autoSpaceDE/>
        <w:autoSpaceDN/>
        <w:bidi w:val="0"/>
        <w:adjustRightInd/>
        <w:snapToGrid/>
        <w:spacing w:line="420" w:lineRule="auto"/>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rPr>
        <w:t>　　（三）优化提升审批效能。开发区管委会、高新区管委会要积极对接市直相关部门，尽快建立承接运行、监督考核、跟踪评估等机制，完善业务信息系统，配备工作场所，配齐配强工作力量，确保事项接得住、管得好、用得顺。开发区管委会、高新区管委会要按照相对集中行政许可权改革有关要求，深入推进行政审批“一次办好”改革，创新行政审批运行机制，精简审批环节，压缩审批时限，提高审批效率，降低企业成本。</w:t>
      </w:r>
    </w:p>
    <w:p>
      <w:pPr>
        <w:keepNext w:val="0"/>
        <w:keepLines w:val="0"/>
        <w:pageBreakBefore w:val="0"/>
        <w:widowControl w:val="0"/>
        <w:kinsoku/>
        <w:wordWrap/>
        <w:overflowPunct/>
        <w:topLinePunct w:val="0"/>
        <w:autoSpaceDE/>
        <w:autoSpaceDN/>
        <w:bidi w:val="0"/>
        <w:adjustRightInd/>
        <w:snapToGrid/>
        <w:spacing w:line="420" w:lineRule="auto"/>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rPr>
        <w:t>　　（四）强化事中事后监管。开发区管委会、高新区管委会对承接的行政权力事项，承担相应的行政审批和监管职责。对无权监管的事项，由开发区管委会、高新区管委会负责审批，市直部门负责监管。开发区管委会、高新区管委会要与相关部门签订审管备忘录，形成双方互联互通、紧密结合的监管工作格局，切实把监管责任落到实处。</w:t>
      </w:r>
    </w:p>
    <w:p>
      <w:pPr>
        <w:keepNext w:val="0"/>
        <w:keepLines w:val="0"/>
        <w:pageBreakBefore w:val="0"/>
        <w:widowControl w:val="0"/>
        <w:kinsoku/>
        <w:wordWrap/>
        <w:overflowPunct/>
        <w:topLinePunct w:val="0"/>
        <w:autoSpaceDE/>
        <w:autoSpaceDN/>
        <w:bidi w:val="0"/>
        <w:adjustRightInd/>
        <w:snapToGrid/>
        <w:spacing w:line="420" w:lineRule="auto"/>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rPr>
        <w:t>　　（五）做好事项更新公示。对赋权的事项，开发区管委会、高新区管委会要列入权责清单，在门户网站予以公开，接受社会监督。</w:t>
      </w:r>
    </w:p>
    <w:p>
      <w:pPr>
        <w:keepNext w:val="0"/>
        <w:keepLines w:val="0"/>
        <w:pageBreakBefore w:val="0"/>
        <w:widowControl w:val="0"/>
        <w:kinsoku/>
        <w:wordWrap/>
        <w:overflowPunct/>
        <w:topLinePunct w:val="0"/>
        <w:autoSpaceDE/>
        <w:autoSpaceDN/>
        <w:bidi w:val="0"/>
        <w:adjustRightInd/>
        <w:snapToGrid/>
        <w:spacing w:line="420" w:lineRule="auto"/>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rPr>
        <w:t>　　三、保障措施</w:t>
      </w:r>
    </w:p>
    <w:p>
      <w:pPr>
        <w:keepNext w:val="0"/>
        <w:keepLines w:val="0"/>
        <w:pageBreakBefore w:val="0"/>
        <w:widowControl w:val="0"/>
        <w:kinsoku/>
        <w:wordWrap/>
        <w:overflowPunct/>
        <w:topLinePunct w:val="0"/>
        <w:autoSpaceDE/>
        <w:autoSpaceDN/>
        <w:bidi w:val="0"/>
        <w:adjustRightInd/>
        <w:snapToGrid/>
        <w:spacing w:line="420" w:lineRule="auto"/>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rPr>
        <w:t>　　（一）坚持权责一致。对赋权的事项，开发区管委会、高新区管委会要按照“谁审批、谁负责”的要求，逐一落实责任主体，依法承担相关责任。</w:t>
      </w:r>
    </w:p>
    <w:p>
      <w:pPr>
        <w:keepNext w:val="0"/>
        <w:keepLines w:val="0"/>
        <w:pageBreakBefore w:val="0"/>
        <w:widowControl w:val="0"/>
        <w:kinsoku/>
        <w:wordWrap/>
        <w:overflowPunct/>
        <w:topLinePunct w:val="0"/>
        <w:autoSpaceDE/>
        <w:autoSpaceDN/>
        <w:bidi w:val="0"/>
        <w:adjustRightInd/>
        <w:snapToGrid/>
        <w:spacing w:line="420" w:lineRule="auto"/>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rPr>
        <w:t>　　（二）加强跟踪指导。市教育体育局、市卫生健康委、市公安局、市交通运输局、市行政审批局要加强业务指导和培训，建立常态化沟通联系机制，密切跟踪相关事项运行情况，对行使相关行政权力过程中出现的问题要第一时间主动靠上、帮助解决。</w:t>
      </w:r>
    </w:p>
    <w:p>
      <w:pPr>
        <w:keepNext w:val="0"/>
        <w:keepLines w:val="0"/>
        <w:pageBreakBefore w:val="0"/>
        <w:widowControl w:val="0"/>
        <w:kinsoku/>
        <w:wordWrap/>
        <w:overflowPunct/>
        <w:topLinePunct w:val="0"/>
        <w:autoSpaceDE/>
        <w:autoSpaceDN/>
        <w:bidi w:val="0"/>
        <w:adjustRightInd/>
        <w:snapToGrid/>
        <w:spacing w:line="420" w:lineRule="auto"/>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rPr>
        <w:t>　　（三）强化评估检查。开发区管委会、高新区管委会、市教育体育局、市卫生健康委、市公安局、市交通运输局、市行政审批局要加强对赋权事项的动态评估，对需要调整的事项，及时向市政府提出调整建议。市委编办、市政府办公室要加强督导检查，定期评估赋权实施事项的运行情况，确保各项任务落实到位。</w:t>
      </w:r>
    </w:p>
    <w:p>
      <w:pPr>
        <w:keepNext w:val="0"/>
        <w:keepLines w:val="0"/>
        <w:pageBreakBefore w:val="0"/>
        <w:widowControl w:val="0"/>
        <w:kinsoku/>
        <w:wordWrap/>
        <w:overflowPunct/>
        <w:topLinePunct w:val="0"/>
        <w:autoSpaceDE/>
        <w:autoSpaceDN/>
        <w:bidi w:val="0"/>
        <w:adjustRightInd/>
        <w:snapToGrid/>
        <w:spacing w:line="420" w:lineRule="auto"/>
        <w:textAlignment w:val="auto"/>
        <w:rPr>
          <w:rFonts w:hint="eastAsia" w:ascii="微软雅黑" w:hAnsi="微软雅黑" w:eastAsia="微软雅黑" w:cs="微软雅黑"/>
          <w:sz w:val="24"/>
          <w:szCs w:val="24"/>
        </w:rPr>
      </w:pPr>
    </w:p>
    <w:p>
      <w:pPr>
        <w:keepNext w:val="0"/>
        <w:keepLines w:val="0"/>
        <w:pageBreakBefore w:val="0"/>
        <w:widowControl w:val="0"/>
        <w:kinsoku/>
        <w:wordWrap/>
        <w:overflowPunct/>
        <w:topLinePunct w:val="0"/>
        <w:autoSpaceDE/>
        <w:autoSpaceDN/>
        <w:bidi w:val="0"/>
        <w:adjustRightInd/>
        <w:snapToGrid/>
        <w:spacing w:line="420" w:lineRule="auto"/>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rPr>
        <w:t>　　附件：赋予聊城经济技术开发区管委会和聊城高新技术产业开发区管委会实施的行政权力事项清单</w:t>
      </w:r>
    </w:p>
    <w:p>
      <w:pPr>
        <w:keepNext w:val="0"/>
        <w:keepLines w:val="0"/>
        <w:pageBreakBefore w:val="0"/>
        <w:widowControl w:val="0"/>
        <w:kinsoku/>
        <w:wordWrap/>
        <w:overflowPunct/>
        <w:topLinePunct w:val="0"/>
        <w:autoSpaceDE/>
        <w:autoSpaceDN/>
        <w:bidi w:val="0"/>
        <w:adjustRightInd/>
        <w:snapToGrid/>
        <w:spacing w:line="420" w:lineRule="auto"/>
        <w:textAlignment w:val="auto"/>
        <w:rPr>
          <w:rFonts w:hint="eastAsia" w:ascii="微软雅黑" w:hAnsi="微软雅黑" w:eastAsia="微软雅黑" w:cs="微软雅黑"/>
          <w:sz w:val="24"/>
          <w:szCs w:val="24"/>
        </w:rPr>
      </w:pPr>
    </w:p>
    <w:p>
      <w:pPr>
        <w:keepNext w:val="0"/>
        <w:keepLines w:val="0"/>
        <w:pageBreakBefore w:val="0"/>
        <w:widowControl w:val="0"/>
        <w:kinsoku/>
        <w:wordWrap/>
        <w:overflowPunct/>
        <w:topLinePunct w:val="0"/>
        <w:autoSpaceDE/>
        <w:autoSpaceDN/>
        <w:bidi w:val="0"/>
        <w:adjustRightInd/>
        <w:snapToGrid/>
        <w:spacing w:line="420" w:lineRule="auto"/>
        <w:jc w:val="right"/>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rPr>
        <w:t>聊城市人民政府</w:t>
      </w:r>
    </w:p>
    <w:p>
      <w:pPr>
        <w:keepNext w:val="0"/>
        <w:keepLines w:val="0"/>
        <w:pageBreakBefore w:val="0"/>
        <w:widowControl w:val="0"/>
        <w:kinsoku/>
        <w:wordWrap/>
        <w:overflowPunct/>
        <w:topLinePunct w:val="0"/>
        <w:autoSpaceDE/>
        <w:autoSpaceDN/>
        <w:bidi w:val="0"/>
        <w:adjustRightInd/>
        <w:snapToGrid/>
        <w:spacing w:line="420" w:lineRule="auto"/>
        <w:jc w:val="right"/>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rPr>
        <w:t>2023年10月27日</w:t>
      </w:r>
    </w:p>
    <w:p>
      <w:pPr>
        <w:keepNext w:val="0"/>
        <w:keepLines w:val="0"/>
        <w:pageBreakBefore w:val="0"/>
        <w:widowControl w:val="0"/>
        <w:kinsoku/>
        <w:wordWrap/>
        <w:overflowPunct/>
        <w:topLinePunct w:val="0"/>
        <w:autoSpaceDE/>
        <w:autoSpaceDN/>
        <w:bidi w:val="0"/>
        <w:adjustRightInd/>
        <w:snapToGrid/>
        <w:spacing w:line="420" w:lineRule="auto"/>
        <w:ind w:leftChars="100" w:firstLine="240" w:firstLineChars="100"/>
        <w:jc w:val="left"/>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rPr>
        <w:t>（此件公开发布）</w:t>
      </w:r>
    </w:p>
    <w:p>
      <w:pPr>
        <w:keepNext w:val="0"/>
        <w:keepLines w:val="0"/>
        <w:pageBreakBefore w:val="0"/>
        <w:widowControl w:val="0"/>
        <w:kinsoku/>
        <w:wordWrap/>
        <w:overflowPunct/>
        <w:topLinePunct w:val="0"/>
        <w:autoSpaceDE/>
        <w:autoSpaceDN/>
        <w:bidi w:val="0"/>
        <w:adjustRightInd/>
        <w:snapToGrid/>
        <w:spacing w:line="420" w:lineRule="auto"/>
        <w:ind w:leftChars="100" w:firstLine="240" w:firstLineChars="100"/>
        <w:jc w:val="left"/>
        <w:textAlignment w:val="auto"/>
        <w:rPr>
          <w:rFonts w:hint="eastAsia" w:ascii="微软雅黑" w:hAnsi="微软雅黑" w:eastAsia="微软雅黑" w:cs="微软雅黑"/>
          <w:sz w:val="24"/>
          <w:szCs w:val="24"/>
        </w:rPr>
      </w:pPr>
    </w:p>
    <w:p>
      <w:pPr>
        <w:keepNext w:val="0"/>
        <w:keepLines w:val="0"/>
        <w:pageBreakBefore w:val="0"/>
        <w:widowControl w:val="0"/>
        <w:kinsoku/>
        <w:wordWrap/>
        <w:overflowPunct/>
        <w:topLinePunct w:val="0"/>
        <w:autoSpaceDE/>
        <w:autoSpaceDN/>
        <w:bidi w:val="0"/>
        <w:adjustRightInd/>
        <w:snapToGrid/>
        <w:spacing w:line="420" w:lineRule="auto"/>
        <w:jc w:val="left"/>
        <w:textAlignment w:val="auto"/>
        <w:rPr>
          <w:rFonts w:hint="eastAsia" w:ascii="微软雅黑" w:hAnsi="微软雅黑" w:eastAsia="微软雅黑" w:cs="微软雅黑"/>
          <w:i w:val="0"/>
          <w:iCs w:val="0"/>
          <w:caps w:val="0"/>
          <w:color w:val="000000"/>
          <w:spacing w:val="0"/>
          <w:sz w:val="24"/>
          <w:szCs w:val="24"/>
        </w:rPr>
      </w:pPr>
    </w:p>
    <w:p>
      <w:pPr>
        <w:keepNext w:val="0"/>
        <w:keepLines w:val="0"/>
        <w:pageBreakBefore w:val="0"/>
        <w:widowControl w:val="0"/>
        <w:kinsoku/>
        <w:wordWrap/>
        <w:overflowPunct/>
        <w:topLinePunct w:val="0"/>
        <w:autoSpaceDE/>
        <w:autoSpaceDN/>
        <w:bidi w:val="0"/>
        <w:adjustRightInd/>
        <w:snapToGrid/>
        <w:spacing w:line="420" w:lineRule="auto"/>
        <w:jc w:val="left"/>
        <w:textAlignment w:val="auto"/>
        <w:rPr>
          <w:rFonts w:hint="eastAsia" w:ascii="微软雅黑" w:hAnsi="微软雅黑" w:eastAsia="微软雅黑" w:cs="微软雅黑"/>
          <w:i w:val="0"/>
          <w:iCs w:val="0"/>
          <w:caps w:val="0"/>
          <w:color w:val="000000"/>
          <w:spacing w:val="0"/>
          <w:sz w:val="24"/>
          <w:szCs w:val="24"/>
        </w:rPr>
      </w:pPr>
    </w:p>
    <w:p>
      <w:pPr>
        <w:keepNext w:val="0"/>
        <w:keepLines w:val="0"/>
        <w:pageBreakBefore w:val="0"/>
        <w:widowControl w:val="0"/>
        <w:kinsoku/>
        <w:wordWrap/>
        <w:overflowPunct/>
        <w:topLinePunct w:val="0"/>
        <w:autoSpaceDE/>
        <w:autoSpaceDN/>
        <w:bidi w:val="0"/>
        <w:adjustRightInd/>
        <w:snapToGrid/>
        <w:spacing w:line="420" w:lineRule="auto"/>
        <w:jc w:val="left"/>
        <w:textAlignment w:val="auto"/>
        <w:rPr>
          <w:rFonts w:hint="eastAsia" w:ascii="微软雅黑" w:hAnsi="微软雅黑" w:eastAsia="微软雅黑" w:cs="微软雅黑"/>
          <w:i w:val="0"/>
          <w:iCs w:val="0"/>
          <w:caps w:val="0"/>
          <w:color w:val="000000"/>
          <w:spacing w:val="0"/>
          <w:sz w:val="24"/>
          <w:szCs w:val="24"/>
        </w:rPr>
      </w:pPr>
    </w:p>
    <w:p>
      <w:pPr>
        <w:keepNext w:val="0"/>
        <w:keepLines w:val="0"/>
        <w:pageBreakBefore w:val="0"/>
        <w:widowControl w:val="0"/>
        <w:kinsoku/>
        <w:wordWrap/>
        <w:overflowPunct/>
        <w:topLinePunct w:val="0"/>
        <w:autoSpaceDE/>
        <w:autoSpaceDN/>
        <w:bidi w:val="0"/>
        <w:adjustRightInd/>
        <w:snapToGrid/>
        <w:spacing w:line="420" w:lineRule="auto"/>
        <w:jc w:val="left"/>
        <w:textAlignment w:val="auto"/>
        <w:rPr>
          <w:rFonts w:hint="eastAsia" w:ascii="微软雅黑" w:hAnsi="微软雅黑" w:eastAsia="微软雅黑" w:cs="微软雅黑"/>
          <w:i w:val="0"/>
          <w:iCs w:val="0"/>
          <w:caps w:val="0"/>
          <w:color w:val="000000"/>
          <w:spacing w:val="0"/>
          <w:sz w:val="24"/>
          <w:szCs w:val="24"/>
        </w:rPr>
      </w:pPr>
      <w:bookmarkStart w:id="0" w:name="_GoBack"/>
      <w:bookmarkEnd w:id="0"/>
    </w:p>
    <w:p>
      <w:pPr>
        <w:keepNext w:val="0"/>
        <w:keepLines w:val="0"/>
        <w:pageBreakBefore w:val="0"/>
        <w:widowControl w:val="0"/>
        <w:kinsoku/>
        <w:wordWrap/>
        <w:overflowPunct/>
        <w:topLinePunct w:val="0"/>
        <w:autoSpaceDE/>
        <w:autoSpaceDN/>
        <w:bidi w:val="0"/>
        <w:adjustRightInd/>
        <w:snapToGrid/>
        <w:spacing w:line="420" w:lineRule="auto"/>
        <w:jc w:val="left"/>
        <w:textAlignment w:val="auto"/>
        <w:rPr>
          <w:rFonts w:hint="eastAsia" w:ascii="微软雅黑" w:hAnsi="微软雅黑" w:eastAsia="微软雅黑" w:cs="微软雅黑"/>
          <w:i w:val="0"/>
          <w:iCs w:val="0"/>
          <w:caps w:val="0"/>
          <w:color w:val="000000"/>
          <w:spacing w:val="0"/>
          <w:sz w:val="24"/>
          <w:szCs w:val="24"/>
        </w:rPr>
      </w:pPr>
    </w:p>
    <w:p>
      <w:pPr>
        <w:keepNext w:val="0"/>
        <w:keepLines w:val="0"/>
        <w:pageBreakBefore w:val="0"/>
        <w:widowControl w:val="0"/>
        <w:kinsoku/>
        <w:wordWrap/>
        <w:overflowPunct/>
        <w:topLinePunct w:val="0"/>
        <w:autoSpaceDE/>
        <w:autoSpaceDN/>
        <w:bidi w:val="0"/>
        <w:adjustRightInd/>
        <w:snapToGrid/>
        <w:spacing w:line="420" w:lineRule="auto"/>
        <w:jc w:val="left"/>
        <w:textAlignment w:val="auto"/>
        <w:rPr>
          <w:rFonts w:hint="eastAsia" w:ascii="微软雅黑" w:hAnsi="微软雅黑" w:eastAsia="微软雅黑" w:cs="微软雅黑"/>
          <w:i w:val="0"/>
          <w:iCs w:val="0"/>
          <w:caps w:val="0"/>
          <w:color w:val="000000"/>
          <w:spacing w:val="0"/>
          <w:sz w:val="24"/>
          <w:szCs w:val="24"/>
        </w:rPr>
      </w:pPr>
    </w:p>
    <w:p>
      <w:pPr>
        <w:pStyle w:val="2"/>
        <w:keepNext w:val="0"/>
        <w:keepLines w:val="0"/>
        <w:widowControl/>
        <w:suppressLineNumbers w:val="0"/>
        <w:spacing w:before="75" w:beforeAutospacing="0" w:after="75" w:afterAutospacing="0"/>
        <w:ind w:left="0" w:right="0" w:firstLine="0"/>
        <w:jc w:val="both"/>
        <w:rPr>
          <w:rFonts w:hint="eastAsia" w:ascii="微软雅黑" w:hAnsi="微软雅黑" w:eastAsia="微软雅黑" w:cs="微软雅黑"/>
          <w:i w:val="0"/>
          <w:iCs w:val="0"/>
          <w:caps w:val="0"/>
          <w:color w:val="000000"/>
          <w:spacing w:val="0"/>
          <w:sz w:val="24"/>
          <w:szCs w:val="24"/>
        </w:rPr>
      </w:pPr>
    </w:p>
    <w:p>
      <w:pPr>
        <w:keepNext w:val="0"/>
        <w:keepLines w:val="0"/>
        <w:pageBreakBefore w:val="0"/>
        <w:widowControl w:val="0"/>
        <w:kinsoku/>
        <w:wordWrap/>
        <w:overflowPunct/>
        <w:topLinePunct w:val="0"/>
        <w:autoSpaceDE/>
        <w:autoSpaceDN/>
        <w:bidi w:val="0"/>
        <w:adjustRightInd/>
        <w:snapToGrid/>
        <w:spacing w:line="420" w:lineRule="auto"/>
        <w:ind w:leftChars="100" w:firstLine="240" w:firstLineChars="100"/>
        <w:jc w:val="left"/>
        <w:textAlignment w:val="auto"/>
        <w:rPr>
          <w:rFonts w:hint="eastAsia" w:ascii="微软雅黑" w:hAnsi="微软雅黑" w:eastAsia="微软雅黑" w:cs="微软雅黑"/>
          <w:sz w:val="24"/>
          <w:szCs w:val="24"/>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华文细黑">
    <w:panose1 w:val="02010600040101010101"/>
    <w:charset w:val="86"/>
    <w:family w:val="auto"/>
    <w:pitch w:val="default"/>
    <w:sig w:usb0="00000287" w:usb1="080F0000" w:usb2="00000000" w:usb3="00000000" w:csb0="0004009F" w:csb1="DFD7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I2YTEzZDMzNzI0OWNlYzM0NTliYTc3ZTZlMjQ1ODEifQ=="/>
  </w:docVars>
  <w:rsids>
    <w:rsidRoot w:val="00000000"/>
    <w:rsid w:val="76E07E3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CCE8C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17</TotalTime>
  <ScaleCrop>false</ScaleCrop>
  <LinksUpToDate>false</LinksUpToDate>
  <CharactersWithSpaces>0</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2023-11-06T23:10:45Z</dcterms:created>
  <dc:creator>Administrator</dc:creator>
  <cp:lastModifiedBy>庆.</cp:lastModifiedBy>
  <dcterms:modified xsi:type="dcterms:W3CDTF">2023-11-06T23:28:09Z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EAC6F4900F254E6DA3DC2A35A55D1A13_12</vt:lpwstr>
  </property>
</Properties>
</file>